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 w:before="0" w:after="0"/>
        <w:jc w:val="center"/>
        <w:rPr/>
      </w:pPr>
      <w:r>
        <w:rPr/>
      </w:r>
    </w:p>
    <w:p>
      <w:pPr>
        <w:pStyle w:val="Standard"/>
        <w:spacing w:lineRule="auto" w:line="360" w:before="0" w:after="0"/>
        <w:jc w:val="center"/>
        <w:rPr/>
      </w:pPr>
      <w:r>
        <w:rPr/>
        <w:t>Relatório de produtividade d</w:t>
      </w:r>
      <w:bookmarkStart w:id="0" w:name="_GoBack1"/>
      <w:bookmarkEnd w:id="0"/>
      <w:r>
        <w:rPr/>
        <w:t xml:space="preserve">a Procuradoria-Geral do Município de Nova Venécia/ES no mês de </w:t>
      </w:r>
      <w:r>
        <w:rPr>
          <w:rFonts w:eastAsia="NSimSun" w:cs="Arial"/>
          <w:b/>
          <w:bCs/>
          <w:color w:val="auto"/>
          <w:kern w:val="2"/>
          <w:sz w:val="24"/>
          <w:szCs w:val="24"/>
          <w:lang w:val="pt-BR" w:eastAsia="zh-CN" w:bidi="hi-IN"/>
        </w:rPr>
        <w:t>JANEIRO</w:t>
      </w:r>
      <w:r>
        <w:rPr>
          <w:b/>
          <w:bCs/>
        </w:rPr>
        <w:t>/202</w:t>
      </w:r>
      <w:r>
        <w:rPr>
          <w:b/>
          <w:bCs/>
        </w:rPr>
        <w:t>2</w:t>
      </w:r>
    </w:p>
    <w:p>
      <w:pPr>
        <w:pStyle w:val="Standard"/>
        <w:spacing w:lineRule="auto" w:line="360" w:before="0" w:after="0"/>
        <w:jc w:val="center"/>
        <w:rPr/>
      </w:pPr>
      <w:r>
        <w:rPr/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4305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PROCESSOS JUDICIAIS:</w:t>
            </w:r>
          </w:p>
          <w:p>
            <w:pPr>
              <w:pStyle w:val="Standard"/>
              <w:widowControl w:val="false"/>
              <w:suppressAutoHyphens w:val="true"/>
              <w:bidi w:val="0"/>
              <w:spacing w:lineRule="auto" w:line="360" w:before="113" w:after="113"/>
              <w:ind w:left="113" w:right="0" w:hanging="0"/>
              <w:jc w:val="both"/>
              <w:textAlignment w:val="baseline"/>
              <w:rPr/>
            </w:pPr>
            <w:r>
              <w:rPr/>
              <w:t xml:space="preserve">Total de entrada: </w:t>
            </w:r>
            <w:r>
              <w:rPr>
                <w:b/>
                <w:bCs/>
              </w:rPr>
              <w:t>36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/>
            </w:pPr>
            <w:r>
              <w:rPr/>
              <w:t xml:space="preserve">Petições iniciais: </w:t>
            </w:r>
            <w:r>
              <w:rPr>
                <w:b/>
                <w:bCs/>
              </w:rPr>
              <w:t>09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/>
            </w:pPr>
            <w:r>
              <w:rPr/>
              <w:t xml:space="preserve">Contestações: </w:t>
            </w:r>
            <w:r>
              <w:rPr>
                <w:b/>
                <w:bCs/>
              </w:rPr>
              <w:t>07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/>
            </w:pPr>
            <w:r>
              <w:rPr/>
              <w:t xml:space="preserve">Recursos/Contrarrazões: </w:t>
            </w:r>
            <w:r>
              <w:rPr>
                <w:b/>
                <w:bCs/>
              </w:rPr>
              <w:t>01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/>
            </w:pPr>
            <w:r>
              <w:rPr/>
              <w:t>Manifestações residuais: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Standard"/>
              <w:widowControl w:val="false"/>
              <w:spacing w:lineRule="auto" w:line="360" w:before="113" w:after="113"/>
              <w:ind w:left="113" w:hanging="0"/>
              <w:jc w:val="both"/>
              <w:rPr/>
            </w:pPr>
            <w:r>
              <w:rPr/>
              <w:t xml:space="preserve">Total de saída: </w:t>
            </w:r>
            <w:r>
              <w:rPr>
                <w:b/>
                <w:bCs/>
              </w:rPr>
              <w:t>45</w:t>
            </w:r>
          </w:p>
        </w:tc>
      </w:tr>
    </w:tbl>
    <w:p>
      <w:pPr>
        <w:pStyle w:val="Standard"/>
        <w:spacing w:lineRule="auto" w:line="360" w:before="0" w:after="0"/>
        <w:rPr/>
      </w:pPr>
      <w:r>
        <w:rPr/>
      </w:r>
    </w:p>
    <w:p>
      <w:pPr>
        <w:pStyle w:val="Standard"/>
        <w:spacing w:lineRule="auto" w:line="360" w:before="0" w:after="0"/>
        <w:rPr/>
      </w:pPr>
      <w:r>
        <w:rPr/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2715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/>
            </w:pPr>
            <w:r>
              <w:rPr>
                <w:b/>
                <w:bCs/>
              </w:rPr>
              <w:t>EXECUÇÕES FISCAIS:</w:t>
            </w:r>
          </w:p>
          <w:p>
            <w:pPr>
              <w:pStyle w:val="Standard"/>
              <w:widowControl w:val="false"/>
              <w:suppressLineNumbers/>
              <w:spacing w:lineRule="auto" w:line="360" w:before="113" w:after="113"/>
              <w:ind w:left="113" w:hanging="0"/>
              <w:jc w:val="both"/>
              <w:rPr/>
            </w:pPr>
            <w:r>
              <w:rPr/>
              <w:t>Total de entrada: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17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Standard"/>
              <w:widowControl w:val="false"/>
              <w:suppressAutoHyphens w:val="true"/>
              <w:bidi w:val="0"/>
              <w:spacing w:lineRule="auto" w:line="360" w:before="113" w:after="113"/>
              <w:ind w:left="113" w:right="0" w:hanging="0"/>
              <w:jc w:val="both"/>
              <w:textAlignment w:val="baseline"/>
              <w:rPr/>
            </w:pPr>
            <w:r>
              <w:rPr/>
              <w:t xml:space="preserve">Total de saída: </w:t>
            </w:r>
            <w:r>
              <w:rPr>
                <w:b/>
                <w:bCs/>
              </w:rPr>
              <w:t>22</w:t>
            </w:r>
          </w:p>
          <w:p>
            <w:pPr>
              <w:pStyle w:val="Standard"/>
              <w:widowControl w:val="false"/>
              <w:suppressAutoHyphens w:val="true"/>
              <w:bidi w:val="0"/>
              <w:spacing w:lineRule="auto" w:line="360" w:before="113" w:after="113"/>
              <w:ind w:left="113" w:right="0" w:hanging="0"/>
              <w:jc w:val="both"/>
              <w:textAlignment w:val="baseline"/>
              <w:rPr/>
            </w:pPr>
            <w:r>
              <w:rPr/>
              <w:t xml:space="preserve">Total de crédito fiscal executado: </w:t>
            </w:r>
            <w:r>
              <w:rPr>
                <w:b/>
                <w:kern w:val="0"/>
              </w:rPr>
              <w:t xml:space="preserve">R$ </w:t>
            </w:r>
            <w:r>
              <w:rPr>
                <w:b/>
                <w:kern w:val="0"/>
              </w:rPr>
              <w:t xml:space="preserve">153.419,15 </w:t>
            </w:r>
            <w:r>
              <w:rPr>
                <w:b/>
                <w:kern w:val="0"/>
              </w:rPr>
              <w:t>(</w:t>
            </w:r>
            <w:r>
              <w:rPr>
                <w:b/>
                <w:kern w:val="0"/>
              </w:rPr>
              <w:t>cento e cinquenta e três mil, quatrocentos e dezenove reais e quinze centavos</w:t>
            </w:r>
            <w:r>
              <w:rPr>
                <w:b/>
                <w:kern w:val="0"/>
              </w:rPr>
              <w:t>).</w:t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Standard"/>
        <w:spacing w:lineRule="auto" w:line="360" w:before="0" w:after="0"/>
        <w:jc w:val="both"/>
        <w:rPr/>
      </w:pPr>
      <w:r>
        <w:rPr/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3285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/>
            </w:pPr>
            <w:r>
              <w:rPr>
                <w:b/>
                <w:bCs/>
              </w:rPr>
              <w:t>PROCESSOS ADMINISTRATIVOS:</w:t>
            </w:r>
          </w:p>
          <w:p>
            <w:pPr>
              <w:pStyle w:val="Standard"/>
              <w:widowControl w:val="false"/>
              <w:suppressLineNumbers/>
              <w:tabs>
                <w:tab w:val="clear" w:pos="709"/>
                <w:tab w:val="left" w:pos="170" w:leader="none"/>
              </w:tabs>
              <w:spacing w:lineRule="auto" w:line="360" w:before="113" w:after="113"/>
              <w:ind w:firstLine="87"/>
              <w:rPr/>
            </w:pPr>
            <w:r>
              <w:rPr/>
              <w:t>Total de entrada: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26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/>
            </w:pPr>
            <w:r>
              <w:rPr/>
              <w:t xml:space="preserve">Pareceres: </w:t>
            </w:r>
            <w:r>
              <w:rPr>
                <w:b/>
                <w:bCs/>
              </w:rPr>
              <w:t>7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/>
            </w:pPr>
            <w:r>
              <w:rPr/>
              <w:t>Despachos: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28</w:t>
            </w:r>
          </w:p>
          <w:p>
            <w:pPr>
              <w:pStyle w:val="Standard"/>
              <w:widowControl w:val="false"/>
              <w:spacing w:lineRule="auto" w:line="360" w:before="113" w:after="113"/>
              <w:ind w:left="113" w:hanging="0"/>
              <w:jc w:val="both"/>
              <w:rPr/>
            </w:pPr>
            <w:r>
              <w:rPr/>
              <w:t xml:space="preserve">Total de saída: </w:t>
            </w:r>
            <w:r>
              <w:rPr>
                <w:b/>
                <w:bCs/>
              </w:rPr>
              <w:t>35</w:t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45"/>
      </w:tblGrid>
      <w:tr>
        <w:trPr>
          <w:trHeight w:val="3180" w:hRule="atLeast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PROCESSOS LICITATÓRIOS:</w:t>
            </w:r>
          </w:p>
          <w:p>
            <w:pPr>
              <w:pStyle w:val="Standard"/>
              <w:widowControl w:val="false"/>
              <w:suppressLineNumbers/>
              <w:suppressAutoHyphens w:val="true"/>
              <w:bidi w:val="0"/>
              <w:spacing w:lineRule="auto" w:line="360" w:before="113" w:after="113"/>
              <w:ind w:left="113" w:right="0" w:hanging="0"/>
              <w:jc w:val="left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de entrada: </w:t>
            </w:r>
            <w:r>
              <w:rPr>
                <w:b/>
                <w:bCs/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Pareceres: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30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Despachos: </w:t>
            </w:r>
            <w:r>
              <w:rPr>
                <w:b/>
                <w:bCs/>
                <w:sz w:val="24"/>
                <w:szCs w:val="24"/>
              </w:rPr>
              <w:t>10</w:t>
            </w:r>
          </w:p>
          <w:p>
            <w:pPr>
              <w:pStyle w:val="Standard"/>
              <w:widowControl w:val="false"/>
              <w:spacing w:lineRule="auto" w:line="360" w:before="113" w:after="113"/>
              <w:ind w:left="113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de saída: </w:t>
            </w:r>
            <w:r>
              <w:rPr>
                <w:b/>
                <w:bCs/>
                <w:sz w:val="24"/>
                <w:szCs w:val="24"/>
              </w:rPr>
              <w:t>40</w:t>
            </w:r>
          </w:p>
          <w:p>
            <w:pPr>
              <w:pStyle w:val="Standard"/>
              <w:widowControl w:val="false"/>
              <w:spacing w:lineRule="auto" w:line="360" w:before="113" w:after="113"/>
              <w:ind w:left="113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Objetos dos processos licitatórios analisados: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Sec. Ação Social – Pedido de Indenização;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Gabinete – Pedido de Reequilíbrio Econômico-Financeiro – Ata de Registro de Preços;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Obras – Prorrogação de contrato;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Educação – Aquisição de gêneros alimentícios;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Cultura – Locação de ônibus, micro-ônibus e van;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Saúde – Reajuste de valor;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Obras – Aquisição de grama esmeralda em placas uniformes;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Obras – Aquisição de materiais elétricos;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Saúde reajuste de contrato – locação de veículo;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Saúde – Aquisição de matérias hospitalares;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Agricultura – Aquisição de materiais de construção;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Ação Social – Rescisão de Termo de Colaboração;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Pregão Eletrônico – SRP – Aquisição de fraldas descartáveis infantis – Sec. Educação – Fase interna;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Pregão eletrônico – SRP – Contratação de sonorização e iluminação – Fase externa;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Pregão eletrônico – SRP – Aquisição de equipamentos para modernização e reestruturação tecnológica – Fase externa – Sec. Educação;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Reajuste  - Avenida Guanabara;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Tomada de Preço – Conclusão da obra de construção do Espaço Esportivo do Rúbia Fase interna – Sec. Esportes;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Pregão Eletrônico – Locação de veículos – fase interna;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Pregão Eletrônico – Materiais odontológicos – Fase interna;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Aditivo – Transporte escolar;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Pregão Eletrônico –  Roçadeiras – Fase externa;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Chamamento Público – Acordo de Cooperação com OSC – Análise do cumprimento dos requisitos apontados no parecer jurídico – Competência da comissão de seleção;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Emissão de faturas/notas fiscais após a extinção do contrato – Pagamento por indenização;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Possibilidade de indicação de marca em edital licitatório – Hipótese excepcional – Necessidade de justificativa técnica – Sec. Administração;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Sistema de Registro de Preços – Pedido de liberação de obrigação – Impossibilidade;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Ausência de dúvida jurídica – Questão já decidida pela autoridade competente, subsidiada por parecer anterior;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Ao setor de contratos para elaboração da Minuta do Termo de Colaboração;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Ao setor de contratos para elaboração da Minuta do Termo de Colaboração;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Ausência de dúvida jurídica – Decisão da autoridade competente;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Ausência de dúvida jurídica – Decisão que incumbe ao pregoeiro;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Pregão eletrônico – Aquisição de produtos laboratoriais – Fase externa – Sec. Saúde;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Inexigibilidade de licitação – Contratação direta de curso – Possibilidade, desde que cumpridas as orientações do parecer – Sec. Educação;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Termo de colaboração – Repasse de recursos – Viabilidade condicionada ao cumprimento das recomendações – Sec. Educação;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Solicitação de parecer quanto à possibilidade de rescisão amigável – Inexistência de óbices;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Tomada de Preços – Construção da Praça do Bis – Viabilidade desde que atendidas as recomendações – Fase interna – Sec. Obras;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Prorrogação de prazo e valor do Contrato nº 020/2020 – Locação de ambulância – Viabilidade, desde que atendidas as recomendações;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Liberation Serif" w:hAnsi="Liberation Serif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Locação de veículos – Solicitação de parecer acerca da necessidade de exigência no edital de registro das empresas no CRA – Ilegalidade.</w:t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Standard"/>
        <w:spacing w:lineRule="auto" w:line="360" w:before="0" w:after="0"/>
        <w:jc w:val="both"/>
        <w:rPr/>
      </w:pPr>
      <w:r>
        <w:rPr/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1590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/>
            </w:pPr>
            <w:r>
              <w:rPr>
                <w:b/>
                <w:bCs/>
              </w:rPr>
              <w:t>OFÍCIOS:</w:t>
            </w:r>
          </w:p>
          <w:p>
            <w:pPr>
              <w:pStyle w:val="Standard"/>
              <w:widowControl w:val="false"/>
              <w:suppressLineNumbers/>
              <w:suppressAutoHyphens w:val="true"/>
              <w:bidi w:val="0"/>
              <w:spacing w:lineRule="auto" w:line="360" w:before="0" w:after="0"/>
              <w:ind w:left="113" w:right="0" w:hanging="0"/>
              <w:jc w:val="both"/>
              <w:textAlignment w:val="baseline"/>
              <w:rPr/>
            </w:pPr>
            <w:r>
              <w:rPr/>
              <w:t>Ofícios expedidos: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</w:t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276"/>
              <w:ind w:left="72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widowControl w:val="false"/>
              <w:ind w:left="720" w:hanging="0"/>
              <w:jc w:val="center"/>
              <w:rPr/>
            </w:pPr>
            <w:r>
              <w:rPr>
                <w:b/>
                <w:bCs/>
              </w:rPr>
              <w:t>RECOMENDAÇÕES JURÍDICAS:</w:t>
            </w:r>
          </w:p>
          <w:p>
            <w:pPr>
              <w:pStyle w:val="Standard"/>
              <w:widowControl w:val="false"/>
              <w:suppressLineNumbers/>
              <w:ind w:firstLine="170"/>
              <w:jc w:val="both"/>
              <w:rPr/>
            </w:pPr>
            <w:r>
              <w:rPr/>
            </w:r>
          </w:p>
          <w:p>
            <w:pPr>
              <w:pStyle w:val="Standard"/>
              <w:widowControl w:val="false"/>
              <w:suppressLineNumbers/>
              <w:ind w:firstLine="170"/>
              <w:jc w:val="both"/>
              <w:rPr/>
            </w:pPr>
            <w:r>
              <w:rPr/>
              <w:t>Recomendações jurídicas expedidas:</w:t>
            </w:r>
            <w:r>
              <w:rPr>
                <w:b/>
                <w:bCs/>
              </w:rPr>
              <w:t xml:space="preserve"> 0</w:t>
            </w:r>
          </w:p>
          <w:p>
            <w:pPr>
              <w:pStyle w:val="Standard"/>
              <w:widowControl w:val="false"/>
              <w:suppressLineNumbers/>
              <w:ind w:firstLine="17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ind w:left="113" w:hanging="0"/>
              <w:rPr>
                <w:rFonts w:eastAsia="Times New Roman" w:cs="Times New Roman"/>
                <w:color w:val="000000"/>
                <w:lang w:bidi="ar-SA"/>
              </w:rPr>
            </w:pPr>
            <w:r>
              <w:rPr>
                <w:rFonts w:eastAsia="Times New Roman" w:cs="Times New Roman"/>
                <w:color w:val="000000"/>
                <w:lang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cteresdenotadefim" w:customStyle="1">
    <w:name w:val="Caracteres de nota de fim"/>
    <w:qFormat/>
    <w:rPr/>
  </w:style>
  <w:style w:type="character" w:styleId="Ncoradanotadefim" w:customStyle="1">
    <w:name w:val="Âncora da nota de fim"/>
    <w:rPr>
      <w:vertAlign w:val="superscript"/>
    </w:rPr>
  </w:style>
  <w:style w:type="character" w:styleId="Fontepargpadro6" w:customStyle="1">
    <w:name w:val="Fonte parág. padrão6"/>
    <w:qFormat/>
    <w:rsid w:val="003b38f7"/>
    <w:rPr/>
  </w:style>
  <w:style w:type="character" w:styleId="Marcas" w:customStyle="1">
    <w:name w:val="Marcas"/>
    <w:qFormat/>
    <w:rPr>
      <w:rFonts w:ascii="OpenSymbol" w:hAnsi="OpenSymbol" w:eastAsia="OpenSymbol" w:cs="OpenSymbol"/>
      <w:b/>
      <w:bCs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tulo1" w:customStyle="1">
    <w:name w:val="Título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ontedodatabela" w:customStyle="1">
    <w:name w:val="Conteúdo da tabela"/>
    <w:basedOn w:val="Standard"/>
    <w:qFormat/>
    <w:pPr>
      <w:widowControl w:val="false"/>
      <w:suppressLineNumbers/>
    </w:pPr>
    <w:rPr/>
  </w:style>
  <w:style w:type="paragraph" w:styleId="Endnote" w:customStyle="1">
    <w:name w:val="End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Application>LibreOffice/7.0.3.1$Windows_X86_64 LibreOffice_project/d7547858d014d4cf69878db179d326fc3483e082</Application>
  <Pages>4</Pages>
  <Words>539</Words>
  <Characters>3221</Characters>
  <CharactersWithSpaces>3721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2021-05-04T23:30:00Z</dcterms:created>
  <dc:creator>Brenda</dc:creator>
  <dc:description/>
  <dc:language>pt-BR</dc:language>
  <cp:lastModifiedBy/>
  <cp:lastPrinted>2021-04-27T09:48:00Z</cp:lastPrinted>
  <dcterms:modified xsi:type="dcterms:W3CDTF">2022-02-07T10:28:04Z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