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uto" w:line="360" w:before="0" w:after="0"/>
        <w:jc w:val="center"/>
        <w:rPr/>
      </w:pPr>
      <w:r>
        <w:rPr/>
      </w:r>
    </w:p>
    <w:p>
      <w:pPr>
        <w:pStyle w:val="Standard"/>
        <w:spacing w:lineRule="auto" w:line="360" w:before="0" w:after="0"/>
        <w:jc w:val="center"/>
        <w:rPr/>
      </w:pPr>
      <w:r>
        <w:rPr/>
        <w:t>Relatório de produtividade d</w:t>
      </w:r>
      <w:bookmarkStart w:id="0" w:name="_GoBack1"/>
      <w:bookmarkEnd w:id="0"/>
      <w:r>
        <w:rPr/>
        <w:t xml:space="preserve">a Procuradoria-Geral do Município de Nova Venécia/ES no mês de </w:t>
      </w:r>
      <w:r>
        <w:rPr>
          <w:rFonts w:eastAsia="NSimSun" w:cs="Arial"/>
          <w:b/>
          <w:bCs/>
          <w:color w:val="auto"/>
          <w:kern w:val="2"/>
          <w:sz w:val="24"/>
          <w:szCs w:val="24"/>
          <w:lang w:val="pt-BR" w:eastAsia="zh-CN" w:bidi="hi-IN"/>
        </w:rPr>
        <w:t>DEZEMBRO</w:t>
      </w:r>
      <w:r>
        <w:rPr>
          <w:b/>
          <w:bCs/>
        </w:rPr>
        <w:t>/2021</w:t>
      </w:r>
    </w:p>
    <w:p>
      <w:pPr>
        <w:pStyle w:val="Standard"/>
        <w:spacing w:lineRule="auto" w:line="360" w:before="0" w:after="0"/>
        <w:jc w:val="center"/>
        <w:rPr/>
      </w:pPr>
      <w:r>
        <w:rPr/>
      </w:r>
    </w:p>
    <w:tbl>
      <w:tblPr>
        <w:tblW w:w="9638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>
          <w:trHeight w:val="4305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Contedodatabela"/>
              <w:widowControl w:val="false"/>
              <w:spacing w:lineRule="auto" w:line="360" w:before="0" w:after="0"/>
              <w:ind w:left="720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ontedodatabela"/>
              <w:widowControl w:val="false"/>
              <w:spacing w:lineRule="auto" w:line="360" w:before="0" w:after="0"/>
              <w:ind w:left="720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PROCESSOS JUDICIAIS:</w:t>
            </w:r>
          </w:p>
          <w:p>
            <w:pPr>
              <w:pStyle w:val="Standard"/>
              <w:widowControl w:val="false"/>
              <w:suppressAutoHyphens w:val="true"/>
              <w:bidi w:val="0"/>
              <w:spacing w:lineRule="auto" w:line="360" w:before="113" w:after="113"/>
              <w:ind w:left="113" w:right="0" w:hanging="0"/>
              <w:jc w:val="both"/>
              <w:textAlignment w:val="baseline"/>
              <w:rPr/>
            </w:pPr>
            <w:r>
              <w:rPr/>
              <w:t xml:space="preserve">Total de entrada: </w:t>
            </w:r>
            <w:r>
              <w:rPr>
                <w:b/>
                <w:bCs/>
              </w:rPr>
              <w:t>52</w:t>
            </w:r>
          </w:p>
          <w:p>
            <w:pPr>
              <w:pStyle w:val="Contedodatabela"/>
              <w:widowControl w:val="false"/>
              <w:numPr>
                <w:ilvl w:val="0"/>
                <w:numId w:val="1"/>
              </w:numPr>
              <w:spacing w:lineRule="auto" w:line="360" w:before="113" w:after="113"/>
              <w:ind w:left="510" w:hanging="340"/>
              <w:jc w:val="both"/>
              <w:rPr/>
            </w:pPr>
            <w:r>
              <w:rPr/>
              <w:t xml:space="preserve">Petições iniciais: </w:t>
            </w:r>
            <w:r>
              <w:rPr>
                <w:b/>
                <w:bCs/>
              </w:rPr>
              <w:t>0</w:t>
            </w:r>
          </w:p>
          <w:p>
            <w:pPr>
              <w:pStyle w:val="Contedodatabela"/>
              <w:widowControl w:val="false"/>
              <w:numPr>
                <w:ilvl w:val="0"/>
                <w:numId w:val="1"/>
              </w:numPr>
              <w:spacing w:lineRule="auto" w:line="360" w:before="113" w:after="113"/>
              <w:ind w:left="510" w:hanging="340"/>
              <w:jc w:val="both"/>
              <w:rPr/>
            </w:pPr>
            <w:r>
              <w:rPr/>
              <w:t xml:space="preserve">Contestações: </w:t>
            </w:r>
            <w:r>
              <w:rPr>
                <w:b/>
                <w:bCs/>
              </w:rPr>
              <w:t>12</w:t>
            </w:r>
          </w:p>
          <w:p>
            <w:pPr>
              <w:pStyle w:val="Contedodatabela"/>
              <w:widowControl w:val="false"/>
              <w:numPr>
                <w:ilvl w:val="0"/>
                <w:numId w:val="1"/>
              </w:numPr>
              <w:spacing w:lineRule="auto" w:line="360" w:before="113" w:after="113"/>
              <w:ind w:left="510" w:hanging="340"/>
              <w:jc w:val="both"/>
              <w:rPr/>
            </w:pPr>
            <w:r>
              <w:rPr/>
              <w:t>Recursos/Contrarrazões: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18</w:t>
            </w:r>
          </w:p>
          <w:p>
            <w:pPr>
              <w:pStyle w:val="Contedodatabela"/>
              <w:widowControl w:val="false"/>
              <w:numPr>
                <w:ilvl w:val="0"/>
                <w:numId w:val="1"/>
              </w:numPr>
              <w:spacing w:lineRule="auto" w:line="360" w:before="113" w:after="113"/>
              <w:ind w:left="510" w:hanging="340"/>
              <w:jc w:val="both"/>
              <w:rPr/>
            </w:pPr>
            <w:r>
              <w:rPr/>
              <w:t xml:space="preserve">Manifestações residuais: </w:t>
            </w:r>
            <w:r>
              <w:rPr>
                <w:b/>
                <w:bCs/>
              </w:rPr>
              <w:t>57</w:t>
            </w:r>
          </w:p>
          <w:p>
            <w:pPr>
              <w:pStyle w:val="Standard"/>
              <w:widowControl w:val="false"/>
              <w:spacing w:lineRule="auto" w:line="360" w:before="113" w:after="113"/>
              <w:ind w:left="113" w:hanging="0"/>
              <w:jc w:val="both"/>
              <w:rPr/>
            </w:pPr>
            <w:r>
              <w:rPr/>
              <w:t xml:space="preserve">Total de saída: </w:t>
            </w:r>
            <w:r>
              <w:rPr>
                <w:b/>
                <w:bCs/>
              </w:rPr>
              <w:t>87</w:t>
            </w:r>
          </w:p>
        </w:tc>
      </w:tr>
    </w:tbl>
    <w:p>
      <w:pPr>
        <w:pStyle w:val="Standard"/>
        <w:spacing w:lineRule="auto" w:line="360" w:before="0" w:after="0"/>
        <w:rPr/>
      </w:pPr>
      <w:r>
        <w:rPr/>
      </w:r>
    </w:p>
    <w:p>
      <w:pPr>
        <w:pStyle w:val="Standard"/>
        <w:spacing w:lineRule="auto" w:line="360" w:before="0" w:after="0"/>
        <w:rPr/>
      </w:pPr>
      <w:r>
        <w:rPr/>
      </w:r>
    </w:p>
    <w:tbl>
      <w:tblPr>
        <w:tblW w:w="9638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>
          <w:trHeight w:val="2715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Contedodatabela"/>
              <w:widowControl w:val="false"/>
              <w:spacing w:lineRule="auto" w:line="360" w:before="0" w:after="0"/>
              <w:ind w:left="720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ontedodatabela"/>
              <w:widowControl w:val="false"/>
              <w:spacing w:lineRule="auto" w:line="360" w:before="0" w:after="0"/>
              <w:ind w:left="720" w:hanging="0"/>
              <w:jc w:val="center"/>
              <w:rPr/>
            </w:pPr>
            <w:r>
              <w:rPr>
                <w:b/>
                <w:bCs/>
              </w:rPr>
              <w:t>EXECUÇÕES FISCAIS:</w:t>
            </w:r>
          </w:p>
          <w:p>
            <w:pPr>
              <w:pStyle w:val="Standard"/>
              <w:widowControl w:val="false"/>
              <w:suppressLineNumbers/>
              <w:spacing w:lineRule="auto" w:line="360" w:before="113" w:after="113"/>
              <w:ind w:left="113" w:hanging="0"/>
              <w:jc w:val="both"/>
              <w:rPr/>
            </w:pPr>
            <w:r>
              <w:rPr/>
              <w:t xml:space="preserve">Total de entrada: </w:t>
            </w:r>
            <w:r>
              <w:rPr>
                <w:b/>
                <w:bCs/>
              </w:rPr>
              <w:t>24</w:t>
            </w:r>
          </w:p>
          <w:p>
            <w:pPr>
              <w:pStyle w:val="Standard"/>
              <w:widowControl w:val="false"/>
              <w:suppressAutoHyphens w:val="true"/>
              <w:bidi w:val="0"/>
              <w:spacing w:lineRule="auto" w:line="360" w:before="113" w:after="113"/>
              <w:ind w:left="113" w:right="0" w:hanging="0"/>
              <w:jc w:val="both"/>
              <w:textAlignment w:val="baseline"/>
              <w:rPr/>
            </w:pPr>
            <w:r>
              <w:rPr/>
              <w:t xml:space="preserve">Total de saída: </w:t>
            </w:r>
            <w:r>
              <w:rPr>
                <w:b/>
                <w:bCs/>
              </w:rPr>
              <w:t>20</w:t>
            </w:r>
          </w:p>
          <w:p>
            <w:pPr>
              <w:pStyle w:val="Standard"/>
              <w:widowControl w:val="false"/>
              <w:suppressAutoHyphens w:val="true"/>
              <w:bidi w:val="0"/>
              <w:spacing w:lineRule="auto" w:line="360" w:before="113" w:after="113"/>
              <w:ind w:left="113" w:right="0" w:hanging="0"/>
              <w:jc w:val="both"/>
              <w:textAlignment w:val="baseline"/>
              <w:rPr/>
            </w:pPr>
            <w:r>
              <w:rPr/>
              <w:t xml:space="preserve">Total de crédito fiscal executado: </w:t>
            </w:r>
            <w:r>
              <w:rPr>
                <w:b/>
                <w:kern w:val="0"/>
              </w:rPr>
              <w:t xml:space="preserve">R$ </w:t>
            </w:r>
            <w:r>
              <w:rPr>
                <w:b/>
                <w:kern w:val="0"/>
              </w:rPr>
              <w:t>230.674,50</w:t>
            </w:r>
            <w:r>
              <w:rPr>
                <w:b/>
                <w:kern w:val="0"/>
              </w:rPr>
              <w:t xml:space="preserve"> (</w:t>
            </w:r>
            <w:r>
              <w:rPr>
                <w:b/>
                <w:kern w:val="0"/>
              </w:rPr>
              <w:t>duzentos e trinta mil seiscentos e setenta e quatro reais e cinquenta centavos</w:t>
            </w:r>
            <w:r>
              <w:rPr>
                <w:b/>
                <w:kern w:val="0"/>
              </w:rPr>
              <w:t>).</w:t>
            </w:r>
          </w:p>
        </w:tc>
      </w:tr>
    </w:tbl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Standard"/>
        <w:spacing w:lineRule="auto" w:line="360" w:before="0" w:after="0"/>
        <w:jc w:val="both"/>
        <w:rPr/>
      </w:pPr>
      <w:r>
        <w:rPr/>
      </w:r>
    </w:p>
    <w:tbl>
      <w:tblPr>
        <w:tblW w:w="9638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>
          <w:trHeight w:val="3285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Contedodatabela"/>
              <w:widowControl w:val="false"/>
              <w:spacing w:lineRule="auto" w:line="360" w:before="0" w:after="0"/>
              <w:ind w:left="720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ontedodatabela"/>
              <w:widowControl w:val="false"/>
              <w:spacing w:lineRule="auto" w:line="360" w:before="0" w:after="0"/>
              <w:ind w:left="720" w:hanging="0"/>
              <w:jc w:val="center"/>
              <w:rPr/>
            </w:pPr>
            <w:r>
              <w:rPr>
                <w:b/>
                <w:bCs/>
              </w:rPr>
              <w:t>PROCESSOS ADMINISTRATIVOS:</w:t>
            </w:r>
          </w:p>
          <w:p>
            <w:pPr>
              <w:pStyle w:val="Standard"/>
              <w:widowControl w:val="false"/>
              <w:suppressLineNumbers/>
              <w:tabs>
                <w:tab w:val="clear" w:pos="709"/>
                <w:tab w:val="left" w:pos="170" w:leader="none"/>
              </w:tabs>
              <w:spacing w:lineRule="auto" w:line="360" w:before="113" w:after="113"/>
              <w:ind w:firstLine="87"/>
              <w:rPr/>
            </w:pPr>
            <w:r>
              <w:rPr/>
              <w:t>Total de entrada: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47</w:t>
            </w:r>
          </w:p>
          <w:p>
            <w:pPr>
              <w:pStyle w:val="Contedodatabela"/>
              <w:widowControl w:val="false"/>
              <w:numPr>
                <w:ilvl w:val="0"/>
                <w:numId w:val="1"/>
              </w:numPr>
              <w:spacing w:lineRule="auto" w:line="360" w:before="113" w:after="113"/>
              <w:ind w:left="510" w:hanging="340"/>
              <w:jc w:val="both"/>
              <w:rPr/>
            </w:pPr>
            <w:r>
              <w:rPr/>
              <w:t xml:space="preserve">Pareceres: </w:t>
            </w:r>
            <w:r>
              <w:rPr>
                <w:b/>
                <w:bCs/>
              </w:rPr>
              <w:t>10</w:t>
            </w:r>
          </w:p>
          <w:p>
            <w:pPr>
              <w:pStyle w:val="Contedodatabela"/>
              <w:widowControl w:val="false"/>
              <w:numPr>
                <w:ilvl w:val="0"/>
                <w:numId w:val="1"/>
              </w:numPr>
              <w:spacing w:lineRule="auto" w:line="360" w:before="113" w:after="113"/>
              <w:ind w:left="510" w:hanging="340"/>
              <w:jc w:val="both"/>
              <w:rPr/>
            </w:pPr>
            <w:r>
              <w:rPr/>
              <w:t>Despachos: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44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Standard"/>
              <w:widowControl w:val="false"/>
              <w:spacing w:lineRule="auto" w:line="360" w:before="113" w:after="113"/>
              <w:ind w:left="113" w:hanging="0"/>
              <w:jc w:val="both"/>
              <w:rPr/>
            </w:pPr>
            <w:r>
              <w:rPr/>
              <w:t xml:space="preserve">Total de saída: </w:t>
            </w:r>
            <w:r>
              <w:rPr>
                <w:b/>
                <w:bCs/>
              </w:rPr>
              <w:t>54</w:t>
            </w:r>
          </w:p>
        </w:tc>
      </w:tr>
    </w:tbl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tbl>
      <w:tblPr>
        <w:tblW w:w="9645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645"/>
      </w:tblGrid>
      <w:tr>
        <w:trPr>
          <w:trHeight w:val="3180" w:hRule="atLeast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Contedodatabela"/>
              <w:widowControl w:val="false"/>
              <w:spacing w:lineRule="auto" w:line="360" w:before="0" w:after="0"/>
              <w:ind w:left="720" w:hanging="0"/>
              <w:jc w:val="center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Contedodatabela"/>
              <w:widowControl w:val="false"/>
              <w:spacing w:lineRule="auto" w:line="360" w:before="0" w:after="0"/>
              <w:ind w:left="720" w:hanging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PROCESSOS LICITATÓRIOS:</w:t>
            </w:r>
          </w:p>
          <w:p>
            <w:pPr>
              <w:pStyle w:val="Standard"/>
              <w:widowControl w:val="false"/>
              <w:suppressLineNumbers/>
              <w:suppressAutoHyphens w:val="true"/>
              <w:bidi w:val="0"/>
              <w:spacing w:lineRule="auto" w:line="360" w:before="113" w:after="113"/>
              <w:ind w:left="113" w:right="0" w:hanging="0"/>
              <w:jc w:val="left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de entrada: </w:t>
            </w:r>
            <w:r>
              <w:rPr>
                <w:b/>
                <w:bCs/>
                <w:sz w:val="24"/>
                <w:szCs w:val="24"/>
              </w:rPr>
              <w:t>37</w:t>
            </w:r>
          </w:p>
          <w:p>
            <w:pPr>
              <w:pStyle w:val="Contedodatabela"/>
              <w:widowControl w:val="false"/>
              <w:numPr>
                <w:ilvl w:val="0"/>
                <w:numId w:val="1"/>
              </w:numPr>
              <w:spacing w:lineRule="auto" w:line="360" w:before="113" w:after="113"/>
              <w:ind w:left="510" w:hanging="34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Pareceres: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58</w:t>
            </w:r>
          </w:p>
          <w:p>
            <w:pPr>
              <w:pStyle w:val="Contedodatabela"/>
              <w:widowControl w:val="false"/>
              <w:numPr>
                <w:ilvl w:val="0"/>
                <w:numId w:val="1"/>
              </w:numPr>
              <w:spacing w:lineRule="auto" w:line="360" w:before="113" w:after="113"/>
              <w:ind w:left="510" w:hanging="34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Despachos: </w:t>
            </w:r>
            <w:r>
              <w:rPr>
                <w:b/>
                <w:bCs/>
                <w:i w:val="false"/>
                <w:iCs w:val="false"/>
                <w:sz w:val="24"/>
                <w:szCs w:val="24"/>
              </w:rPr>
              <w:t>6</w:t>
            </w:r>
          </w:p>
          <w:p>
            <w:pPr>
              <w:pStyle w:val="Standard"/>
              <w:widowControl w:val="false"/>
              <w:spacing w:lineRule="auto" w:line="360" w:before="113" w:after="113"/>
              <w:ind w:left="113" w:hanging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de saída: </w:t>
            </w:r>
            <w:r>
              <w:rPr>
                <w:b/>
                <w:bCs/>
                <w:sz w:val="24"/>
                <w:szCs w:val="24"/>
              </w:rPr>
              <w:t>64</w:t>
            </w:r>
          </w:p>
          <w:p>
            <w:pPr>
              <w:pStyle w:val="Standard"/>
              <w:widowControl w:val="false"/>
              <w:spacing w:lineRule="auto" w:line="360" w:before="113" w:after="113"/>
              <w:ind w:left="113" w:hanging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b/>
                <w:bCs/>
                <w:sz w:val="24"/>
                <w:szCs w:val="24"/>
              </w:rPr>
              <w:t>Objetos dos processos licitatórios analisados: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left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  <w:t>Aditivo contrato transporte- Sec. Saúde;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left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  <w:t>Aditivo contrato transporte- Sec. Saúde;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left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  <w:t>Rescisão contrato aluguel social – Sec. Ação Social;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left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  <w:t>Rescisão contrato aluguel social – Sec. Ação Social;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left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  <w:t>Rescisão contrato aluguel social – Sec. Ação Social;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left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  <w:t>Prorrogação de prazo de contrato – Sec. Meio Ambiente;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left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  <w:t>Prorrogação de prazo de contrato – Prodnorte;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left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  <w:t>Adesão a Ata – Sec.</w:t>
            </w: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  <w:t xml:space="preserve"> </w:t>
            </w: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  <w:t>Educação;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left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  <w:t>Rescisão contrato aluguel social – Sec. Ação Social;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left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  <w:t>Leilão – Resíduos Sólidos  - Sec. Administração;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left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  <w:t>Fase interna – Aquisição de grama – Sec. Obras;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left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  <w:t>Fase interna – aquisição medicamento – Sec. Saúde;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left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  <w:t>Fase externa – contratação de árbitros – Sec. Esportes;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left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  <w:t>Reajuste contratual  - Sec. Obras;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left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  <w:t>Aditivo contratual – Sec. Saúde;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left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  <w:t>Reajuste contratual – Sec. Obras;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  <w:t>Pregão Eletrônico – SRP – Aquisição de materiais e equipamentos de TI – Fase interna – Sec. Obras;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  <w:t>Dispensa de chamamento público de OSC para celebração de termo de colaboração – Parecer inicial;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  <w:t>Pedido de reequilíbrio econômico-financeiro do Contrato nº 099/2018 – Possibilidade desde que atendidos os requisitos;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  <w:t xml:space="preserve">Solicitação de aditivo para ajuste de valor </w:t>
            </w:r>
            <w:r>
              <w:rPr>
                <w:rFonts w:eastAsia="Times New Roman" w:cs="Times New Roman" w:ascii="Liberation Serif" w:hAnsi="Liberation Serif"/>
                <w:b w:val="false"/>
                <w:bCs w:val="false"/>
                <w:i/>
                <w:iCs/>
                <w:color w:val="auto"/>
                <w:sz w:val="24"/>
                <w:szCs w:val="24"/>
                <w:lang w:val="pt-BR" w:eastAsia="zh-CN" w:bidi="ar-SA"/>
              </w:rPr>
              <w:t xml:space="preserve">per capita </w:t>
            </w: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lang w:val="pt-BR" w:eastAsia="zh-CN" w:bidi="ar-SA"/>
              </w:rPr>
              <w:t>de cofinanciamento para execução do Samu na região norte;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lang w:val="pt-BR" w:eastAsia="zh-CN" w:bidi="ar-SA"/>
              </w:rPr>
              <w:t>Pregão eletrônico – Manutenção de ar-condicionado – Fase externa;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  <w:t>Sec. Educação – Fase externa – Controle de pragas e vetores – Pregão Eletrônico;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  <w:t>Contratos – Análise de minuta – Reajuste;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000000"/>
                <w:sz w:val="24"/>
                <w:szCs w:val="24"/>
                <w:lang w:val="pt-BR" w:eastAsia="zh-CN" w:bidi="ar-SA"/>
              </w:rPr>
              <w:t>Sec. Administração – Troca de marca;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000000"/>
                <w:sz w:val="24"/>
                <w:szCs w:val="24"/>
                <w:lang w:val="pt-BR" w:eastAsia="zh-CN" w:bidi="ar-SA"/>
              </w:rPr>
              <w:t>Gabinete – Adesão – Ata de Registro de Preços – Pregão Eletrônico;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000000"/>
                <w:sz w:val="24"/>
                <w:szCs w:val="24"/>
                <w:lang w:val="pt-BR" w:eastAsia="zh-CN" w:bidi="ar-SA"/>
              </w:rPr>
              <w:t>Sec. Meio Ambiente – Fase interna – Locação de um trator esteira com operador – Pregão Eletrônico;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000000"/>
                <w:sz w:val="24"/>
                <w:szCs w:val="24"/>
                <w:lang w:val="pt-BR" w:eastAsia="zh-CN" w:bidi="ar-SA"/>
              </w:rPr>
              <w:t>Gabinete – Fase externa – Aquisição de aeronave não tripulada – tipo Drone – Pregão Eletrônico;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000000"/>
                <w:sz w:val="24"/>
                <w:szCs w:val="24"/>
                <w:lang w:val="pt-BR" w:eastAsia="zh-CN" w:bidi="ar-SA"/>
              </w:rPr>
              <w:t>Sec. Administração – Prorrogação de prazo e valor – Sistema para gestão pública – Pregão Presencial;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000000"/>
                <w:sz w:val="24"/>
                <w:szCs w:val="24"/>
                <w:lang w:val="pt-BR" w:eastAsia="zh-CN" w:bidi="ar-SA"/>
              </w:rPr>
              <w:t>Sec. Obras – Fase interna – aquisição de ferramentas e equipamentos operacionais – Pregão Eletrônico;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000000"/>
                <w:sz w:val="24"/>
                <w:szCs w:val="24"/>
                <w:lang w:val="pt-BR" w:eastAsia="zh-CN" w:bidi="ar-SA"/>
              </w:rPr>
              <w:t>Contratos – Análise da minuta do termo de aditivo;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000000"/>
                <w:sz w:val="24"/>
                <w:szCs w:val="24"/>
                <w:lang w:val="pt-BR" w:eastAsia="zh-CN" w:bidi="ar-SA"/>
              </w:rPr>
              <w:t>Sec. Agricultura – Prorrogação de contrato _ Vales – Feiras _ Pregão Presencial;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000000"/>
                <w:sz w:val="24"/>
                <w:szCs w:val="24"/>
                <w:lang w:val="pt-BR" w:eastAsia="zh-CN" w:bidi="ar-SA"/>
              </w:rPr>
              <w:t>Sec. Educação – Fase Externa – Materiais para construção de muro e reparo na escola EMEIEF “Área Pereira” – Pregão Eletrônico;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000000"/>
                <w:sz w:val="24"/>
                <w:szCs w:val="24"/>
                <w:lang w:val="pt-BR" w:eastAsia="zh-CN" w:bidi="ar-SA"/>
              </w:rPr>
              <w:t>Sec. Administração – Fase externa – Aquisição de veículo tipo furgão – Pregão Eletrônico;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000000"/>
                <w:sz w:val="24"/>
                <w:szCs w:val="24"/>
                <w:lang w:val="pt-BR" w:eastAsia="zh-CN" w:bidi="ar-SA"/>
              </w:rPr>
              <w:t>Sec. Indústria e Comércio – Prorrogação de contrato – Prestação de serviço de consultoria técnica para elaboração de Relatórios de Controle Ambiental - Dispensa de Licitação;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000000"/>
                <w:sz w:val="24"/>
                <w:szCs w:val="24"/>
                <w:lang w:val="pt-BR" w:eastAsia="zh-CN" w:bidi="ar-SA"/>
              </w:rPr>
              <w:t>Setor de Contratos – Análise de minuta de aditivo de prazo;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000000"/>
                <w:sz w:val="24"/>
                <w:szCs w:val="24"/>
                <w:lang w:val="pt-BR" w:eastAsia="zh-CN" w:bidi="ar-SA"/>
              </w:rPr>
              <w:t>Sec. Educação – Fase externa – Aquisição de EPI’s e equipamentos de higienização – Pregão Eletrônico;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000000"/>
                <w:sz w:val="24"/>
                <w:szCs w:val="24"/>
                <w:lang w:val="pt-BR" w:eastAsia="zh-CN" w:bidi="ar-SA"/>
              </w:rPr>
              <w:t>Sec. Obras – Fase externa – Instalação de guarda-corpo e corrimão em trecho da Avenida Guanabara - Tomada de Preços;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000000"/>
                <w:sz w:val="24"/>
                <w:szCs w:val="24"/>
                <w:lang w:val="pt-BR" w:eastAsia="zh-CN" w:bidi="ar-SA"/>
              </w:rPr>
              <w:t>Gabinete – Reajuste de Ata de Registro de Preço – Pregão Eletrônico;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000000"/>
                <w:sz w:val="24"/>
                <w:szCs w:val="24"/>
                <w:lang w:val="pt-BR" w:eastAsia="zh-CN" w:bidi="ar-SA"/>
              </w:rPr>
              <w:t>Sec. Agricultura – Locação de trator com um operador – Pregão Eletrônico;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000000"/>
                <w:sz w:val="24"/>
                <w:szCs w:val="24"/>
                <w:lang w:val="pt-BR" w:eastAsia="zh-CN" w:bidi="ar-SA"/>
              </w:rPr>
              <w:t>Gabinete – Adesão à Ata de Registro de Preços – Locação de veículo;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000000"/>
                <w:sz w:val="24"/>
                <w:szCs w:val="24"/>
                <w:lang w:val="pt-BR" w:eastAsia="zh-CN" w:bidi="ar-SA"/>
              </w:rPr>
              <w:t>Dispensa de licitação – Aquisição de óleo de soja 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  <w:t>Consulta acerca da legalidade de formalização de acordo de cooperação  cujo possível gestor é beneficiário;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  <w:t>Abertura de processo de responsabilização por infração a contratos administrativos;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  <w:t>Pregão eletrônico – Aquisição de Materiais Hidráulicos – Fase externa;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  <w:t>Pedido de reajuste de valor do Contrato nº 012/2019 – Possibilidade;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  <w:t>Pregão eletrônico – Aquisição de produtos laboratoriais – Fase externa;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  <w:t>Termo de colaboração – Dispensa de OSC – APAE – Parecer final;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  <w:t>Termo de colaboração – Dispensa de OSC – Casa do Vovô – Parecer final;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  <w:t>Inexigibilidade de Licitação – Manutenção de aparelhos de bioquímica;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  <w:t>Prorrogação de convênio – Decisão do gestor;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  <w:t>Pedido de substituição de objeto – Aquisição de veículos – Impossibilidade;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  <w:t>Análise de minuta de termo aditivo;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  <w:t>Prorrogação de prazo e valor do Contrato nº 013/2019 – Fornecimento de internet – Viabilidade;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  <w:t>Prorrogação de prazo de execução de obra – Possibilidade;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  <w:t>Prorrogação de prazo de execução de obra – Possibilidade;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  <w:t>Pedido de reequilíbrio econômico-financeiro de contrato – RC Transportes e Limpeza EIRELI;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  <w:t>Prorrogação de prazo e valor – RC Transportes e Limpeza EIRELI;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  <w:t>Tomada de Preço – Reforma da Unidade de Saúde Xaph Abrahão – Fase externa;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  <w:t>Pedido de reequilíbrio econômico-financeiro de contrato – Impossibilidade;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  <w:t>Análise de minuta – Contrato de rateio;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  <w:t>Pregão eletrônico – Aquisição de anestésicos veterinários – Fase externa;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  <w:t>Prorrogação de prazo e reajuste de valor do Contrato nº 18/2020;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  <w:t>Prorrogação e reajuste de valor do Contrato nº 018/2020 – Sec. Obras.</w:t>
            </w:r>
          </w:p>
        </w:tc>
      </w:tr>
    </w:tbl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Standard"/>
        <w:spacing w:lineRule="auto" w:line="360" w:before="0" w:after="0"/>
        <w:jc w:val="both"/>
        <w:rPr/>
      </w:pPr>
      <w:r>
        <w:rPr/>
      </w:r>
    </w:p>
    <w:tbl>
      <w:tblPr>
        <w:tblW w:w="9638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>
          <w:trHeight w:val="1590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Contedodatabela"/>
              <w:widowControl w:val="false"/>
              <w:spacing w:lineRule="auto" w:line="360" w:before="0" w:after="0"/>
              <w:ind w:left="720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ontedodatabela"/>
              <w:widowControl w:val="false"/>
              <w:spacing w:lineRule="auto" w:line="360" w:before="0" w:after="0"/>
              <w:ind w:left="720" w:hanging="0"/>
              <w:jc w:val="center"/>
              <w:rPr/>
            </w:pPr>
            <w:r>
              <w:rPr>
                <w:b/>
                <w:bCs/>
              </w:rPr>
              <w:t>OFÍCIOS:</w:t>
            </w:r>
          </w:p>
          <w:p>
            <w:pPr>
              <w:pStyle w:val="Standard"/>
              <w:widowControl w:val="false"/>
              <w:suppressLineNumbers/>
              <w:suppressAutoHyphens w:val="true"/>
              <w:bidi w:val="0"/>
              <w:spacing w:lineRule="auto" w:line="360" w:before="0" w:after="0"/>
              <w:ind w:left="113" w:right="0" w:hanging="0"/>
              <w:jc w:val="both"/>
              <w:textAlignment w:val="baseline"/>
              <w:rPr/>
            </w:pPr>
            <w:r>
              <w:rPr/>
              <w:t>Ofícios expedidos: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18</w:t>
            </w:r>
          </w:p>
        </w:tc>
      </w:tr>
    </w:tbl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tbl>
      <w:tblPr>
        <w:tblW w:w="9638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Contedodatabela"/>
              <w:widowControl w:val="false"/>
              <w:spacing w:lineRule="auto" w:line="276"/>
              <w:ind w:left="720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ontedodatabela"/>
              <w:widowControl w:val="false"/>
              <w:ind w:left="720" w:hanging="0"/>
              <w:jc w:val="center"/>
              <w:rPr/>
            </w:pPr>
            <w:r>
              <w:rPr>
                <w:b/>
                <w:bCs/>
              </w:rPr>
              <w:t>RECOMENDAÇÕES JURÍDICAS:</w:t>
            </w:r>
          </w:p>
          <w:p>
            <w:pPr>
              <w:pStyle w:val="Standard"/>
              <w:widowControl w:val="false"/>
              <w:suppressLineNumbers/>
              <w:ind w:firstLine="170"/>
              <w:jc w:val="both"/>
              <w:rPr/>
            </w:pPr>
            <w:r>
              <w:rPr/>
            </w:r>
          </w:p>
          <w:p>
            <w:pPr>
              <w:pStyle w:val="Standard"/>
              <w:widowControl w:val="false"/>
              <w:suppressLineNumbers/>
              <w:ind w:firstLine="170"/>
              <w:jc w:val="both"/>
              <w:rPr/>
            </w:pPr>
            <w:r>
              <w:rPr/>
              <w:t>Recomendações jurídicas expedidas:</w:t>
            </w:r>
            <w:r>
              <w:rPr>
                <w:b/>
                <w:bCs/>
              </w:rPr>
              <w:t xml:space="preserve"> 0</w:t>
            </w:r>
          </w:p>
          <w:p>
            <w:pPr>
              <w:pStyle w:val="Standard"/>
              <w:widowControl w:val="false"/>
              <w:suppressLineNumbers/>
              <w:ind w:firstLine="17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ind w:left="113" w:hanging="0"/>
              <w:rPr>
                <w:rFonts w:eastAsia="Times New Roman" w:cs="Times New Roman"/>
                <w:color w:val="000000"/>
                <w:lang w:bidi="ar-SA"/>
              </w:rPr>
            </w:pPr>
            <w:r>
              <w:rPr>
                <w:rFonts w:eastAsia="Times New Roman" w:cs="Times New Roman"/>
                <w:color w:val="000000"/>
                <w:lang w:bidi="ar-SA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iberation Serif">
    <w:altName w:val="Times New Roman"/>
    <w:charset w:val="01"/>
    <w:family w:val="roman"/>
    <w:pitch w:val="variable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racteresdenotadefim" w:customStyle="1">
    <w:name w:val="Caracteres de nota de fim"/>
    <w:qFormat/>
    <w:rPr/>
  </w:style>
  <w:style w:type="character" w:styleId="Ncoradanotadefim" w:customStyle="1">
    <w:name w:val="Âncora da nota de fim"/>
    <w:rPr>
      <w:vertAlign w:val="superscript"/>
    </w:rPr>
  </w:style>
  <w:style w:type="character" w:styleId="Fontepargpadro6" w:customStyle="1">
    <w:name w:val="Fonte parág. padrão6"/>
    <w:qFormat/>
    <w:rsid w:val="003b38f7"/>
    <w:rPr/>
  </w:style>
  <w:style w:type="character" w:styleId="Marcas" w:customStyle="1">
    <w:name w:val="Marcas"/>
    <w:qFormat/>
    <w:rPr>
      <w:rFonts w:ascii="OpenSymbol" w:hAnsi="OpenSymbol" w:eastAsia="OpenSymbol" w:cs="OpenSymbol"/>
      <w:b/>
      <w:bCs/>
    </w:rPr>
  </w:style>
  <w:style w:type="character" w:styleId="Nfaseforte" w:customStyle="1">
    <w:name w:val="Ênfase forte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Standard"/>
    <w:qFormat/>
    <w:pPr>
      <w:suppressLineNumbers/>
    </w:pPr>
    <w:rPr/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Ttulo1" w:customStyle="1">
    <w:name w:val="Título1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Contedodatabela" w:customStyle="1">
    <w:name w:val="Conteúdo da tabela"/>
    <w:basedOn w:val="Standard"/>
    <w:qFormat/>
    <w:pPr>
      <w:widowControl w:val="false"/>
      <w:suppressLineNumbers/>
    </w:pPr>
    <w:rPr/>
  </w:style>
  <w:style w:type="paragraph" w:styleId="Endnote" w:customStyle="1">
    <w:name w:val="Endnote"/>
    <w:basedOn w:val="Standard"/>
    <w:qFormat/>
    <w:pPr>
      <w:suppressLineNumbers/>
      <w:ind w:left="339" w:hanging="339"/>
    </w:pPr>
    <w:rPr>
      <w:sz w:val="20"/>
      <w:szCs w:val="20"/>
    </w:rPr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Application>LibreOffice/7.0.3.1$Windows_X86_64 LibreOffice_project/d7547858d014d4cf69878db179d326fc3483e082</Application>
  <Pages>5</Pages>
  <Words>780</Words>
  <Characters>4482</Characters>
  <CharactersWithSpaces>5203</CharactersWithSpaces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2021-05-04T23:30:00Z</dcterms:created>
  <dc:creator>Brenda</dc:creator>
  <dc:description/>
  <dc:language>pt-BR</dc:language>
  <cp:lastModifiedBy/>
  <cp:lastPrinted>2021-04-27T09:48:00Z</cp:lastPrinted>
  <dcterms:modified xsi:type="dcterms:W3CDTF">2022-01-05T10:13:47Z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