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center"/>
        <w:rPr/>
      </w:pPr>
      <w:r>
        <w:rPr/>
      </w:r>
    </w:p>
    <w:p>
      <w:pPr>
        <w:pStyle w:val="Standard"/>
        <w:spacing w:lineRule="auto" w:line="360" w:before="0" w:after="0"/>
        <w:jc w:val="center"/>
        <w:rPr/>
      </w:pPr>
      <w:r>
        <w:rPr/>
        <w:t>Relatório de produtividade d</w:t>
      </w:r>
      <w:bookmarkStart w:id="0" w:name="_GoBack1"/>
      <w:bookmarkEnd w:id="0"/>
      <w:r>
        <w:rPr/>
        <w:t xml:space="preserve">a Procuradoria-Geral do Município de Nova Venécia/ES no mês de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pt-BR" w:eastAsia="zh-CN" w:bidi="hi-IN"/>
        </w:rPr>
        <w:t>NOVEMBRO</w:t>
      </w:r>
      <w:r>
        <w:rPr>
          <w:b/>
          <w:bCs/>
        </w:rPr>
        <w:t>/2021</w:t>
      </w:r>
    </w:p>
    <w:p>
      <w:pPr>
        <w:pStyle w:val="Standard"/>
        <w:spacing w:lineRule="auto" w:line="360" w:before="0" w:after="0"/>
        <w:jc w:val="center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30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PROCESSOS JUDICIAIS: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entrada: </w:t>
            </w:r>
            <w:r>
              <w:rPr>
                <w:b/>
                <w:bCs/>
              </w:rPr>
              <w:t>92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Petições iniciais: </w:t>
            </w:r>
            <w:r>
              <w:rPr>
                <w:b/>
                <w:bCs/>
              </w:rPr>
              <w:t>0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Contestações: </w:t>
            </w:r>
            <w:r>
              <w:rPr>
                <w:b/>
                <w:bCs/>
              </w:rPr>
              <w:t>09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Recursos/Contrarrazões:</w:t>
            </w:r>
            <w:r>
              <w:rPr>
                <w:b/>
                <w:bCs/>
              </w:rPr>
              <w:t xml:space="preserve"> 07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Manifestações residuais: </w:t>
            </w:r>
            <w:r>
              <w:rPr>
                <w:b/>
                <w:bCs/>
              </w:rPr>
              <w:t>86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102</w:t>
            </w:r>
          </w:p>
        </w:tc>
      </w:tr>
    </w:tbl>
    <w:p>
      <w:pPr>
        <w:pStyle w:val="Standard"/>
        <w:spacing w:lineRule="auto" w:line="360" w:before="0" w:after="0"/>
        <w:rPr/>
      </w:pPr>
      <w:r>
        <w:rPr/>
      </w:r>
    </w:p>
    <w:p>
      <w:pPr>
        <w:pStyle w:val="Standard"/>
        <w:spacing w:lineRule="auto" w:line="360" w:before="0" w:after="0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71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EXECUÇÕES FISCAIS:</w:t>
            </w:r>
          </w:p>
          <w:p>
            <w:pPr>
              <w:pStyle w:val="Standard"/>
              <w:widowControl w:val="false"/>
              <w:suppressLineNumbers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entrada: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4"/>
                <w:szCs w:val="24"/>
                <w:lang w:val="pt-BR" w:eastAsia="zh-CN" w:bidi="hi-IN"/>
              </w:rPr>
              <w:t>10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crédito fiscal executado: </w:t>
            </w:r>
            <w:r>
              <w:rPr>
                <w:b/>
                <w:kern w:val="0"/>
              </w:rPr>
              <w:t>R$ 433.847,68 (quatrocentos e trinta e três mil oitocentos e quarenta e sete reais e sessenta e oito centavos).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11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28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PROCESSOS ADMINISTRATIVOS:</w:t>
            </w:r>
          </w:p>
          <w:p>
            <w:pPr>
              <w:pStyle w:val="Standard"/>
              <w:widowControl w:val="false"/>
              <w:suppressLineNumbers/>
              <w:tabs>
                <w:tab w:val="clear" w:pos="709"/>
                <w:tab w:val="left" w:pos="170" w:leader="none"/>
              </w:tabs>
              <w:spacing w:lineRule="auto" w:line="360" w:before="113" w:after="113"/>
              <w:ind w:firstLine="87"/>
              <w:rPr/>
            </w:pPr>
            <w:r>
              <w:rPr/>
              <w:t>Total de entrada:</w:t>
            </w:r>
            <w:r>
              <w:rPr>
                <w:b/>
                <w:bCs/>
              </w:rPr>
              <w:t xml:space="preserve"> 24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Pareceres: </w:t>
            </w:r>
            <w:r>
              <w:rPr>
                <w:b/>
                <w:bCs/>
              </w:rPr>
              <w:t>11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Despachos: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41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30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PROCESSOS LICITATÓRIOS: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113" w:after="113"/>
              <w:ind w:left="113" w:right="0" w:hanging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entrada: </w:t>
            </w:r>
            <w:r>
              <w:rPr>
                <w:b/>
                <w:bCs/>
                <w:sz w:val="24"/>
                <w:szCs w:val="24"/>
              </w:rPr>
              <w:t>44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Pareceres: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Despachos: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saída: </w:t>
            </w:r>
            <w:r>
              <w:rPr>
                <w:b/>
                <w:bCs/>
                <w:sz w:val="24"/>
                <w:szCs w:val="24"/>
              </w:rPr>
              <w:t>57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Objetos dos processos licitatórios analisados: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Sec. Saúde – Prorrogação de prazo e valor – Serviços de fisioterapia – credenciamento.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Sec. Cultura – Fase externa – Decoração natalina – Pregão Presencial.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Gabinete – Adesão a Ata de Registro de Preços – Pregão Eletrônico.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Setor de Contratos – Análise de minuta de aditivo de reequilíbrio.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Educação – Fase interna – Aquisição gêneros alimentícios da Agriculta Familiar – Chamada Pública.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Cultura e Turismo – Fase interna – Locação de sonorização e iluminação – Pregão Eletrônico.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Saúde – Prorrogação de contrato – CIM NORTE/ES – SAMU 192 – Dispensa.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Administração – Fase externa – Locação de veículos automotores – Pregão Eletrônico.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Esportes – Fase interna -Serviços de Arbitragem – Pregão Eletrônico.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Finanças – Prorrogação de Prazo e reajuste. Casa do empreendedor.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Educação – Adesão – Materiais para rede de ensino.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Educação – Prorrogação de Prazo e valor – Aluguel do imóvel destinado ao funcionamento da Secretaria Municipal de Educação.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Administração – Prorrogação de Prazo e valor – Aluguel do imóvel destinado ao funcionamento do Departamento de Recursos Humanos.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Ação Social – Rescisão Contratual amigável – Aluguel Social.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Cultura – Fase interna – Serviço de locação  de palco, tendas e estruturas – Pregão Eletrônico.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Departamento de Licitação – Impugnação ao edital – Serviços de Arbitragem – Pregão Eletrônico.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Indústria, Comércio e Serviços – Prorrogação de Contrato.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Gabinete – Adesão a Ata de Registro de Preço – Concorrência Pública.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Administração – Contratação de empresa especializada para assinatura anual de acesso à ferramenta de pesquisa de preços – Inexigibilidade.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Ação Social – Prorrogação de contrato – Vale Alimentação – Pregão Presencial.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Saúde – Prorrogação de contrato – Vale Alimentação – Pregão Presencial.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Administração – Prorrogação de contrato – Vale Alimentação – Pregão Presencial.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Finanças – análise de minuta – prorrogação de prazo e valor.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Agricultura – prorrogação de prazo e valor – vale feira – pregão presencial.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Saúde – prorrogação de prazo e valor – CIM NORTE/ES – Dispensa.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Prorrogação de vigência e reajuste do Contrato nº 132/2018.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Prorrogação de vigência do Contrato nº 008/2019 – Serviços de fisioterapia.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Reequilíbrio econômico-financeiro Inaplicabilidade – Possibilidade de liberação da obrigação.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Pregão eletrônico – Aquisição de drone – Fase interna.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Pregão eletrônico – Linha Frigorígena e canaletas – Fase externa.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Pregão eletrônico – Materiais elétricos – Mudança de modalidade licitatória – Fase interna.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Pregão Eletrônico – Materiais gráficos – Fase externa.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Requerimento de rescisão contratual – Aluguel social.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Dispensa de chamamento – Termo de Colaboração – Lar de Abigail.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Aditivo de valor ao Contrato nº 020/2021 – Serviços de empreitada global.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Dispensa de chamamento – Termo de Colaboração – MEPES.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Prorrogação de prazo e valor do Contrato nº 015/2019 – Locação de caminhões e máquinas pesadas.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Pedido de remanejamento de itens em ata de registro de preços – Competência do órgão gerenciador.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Análise de minuta de contrato de rateio.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Reajuste de valor e prorrogação de vigência do contrato nº 037/2017 – Locação de imóvel.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Reajuste de valor e prorrogação de vigência do contrato nº 002/2019 – Locação de imóvel.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Análise de minuta de edital emergencial de cultura.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Prorrogação de vigência do contrato nº 012/2019 – Serviços de equoterapia.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Dispensa de licitação – Aquisição de óleo de cozinha – Sec. Ação Social 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pt-BR" w:eastAsia="zh-CN" w:bidi="ar-SA"/>
              </w:rPr>
              <w:t>Consulta acerca da legalidade da formalização de acordo de cooperação com associação cujo associado é possível gestor da parceria.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5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OFÍCIOS: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13" w:right="0" w:hanging="0"/>
              <w:jc w:val="both"/>
              <w:textAlignment w:val="baseline"/>
              <w:rPr/>
            </w:pPr>
            <w:r>
              <w:rPr/>
              <w:t>Ofícios expedidos:</w:t>
            </w:r>
            <w:r>
              <w:rPr>
                <w:b/>
                <w:bCs/>
              </w:rPr>
              <w:t xml:space="preserve"> 17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ind w:left="720" w:hanging="0"/>
              <w:jc w:val="center"/>
              <w:rPr/>
            </w:pPr>
            <w:r>
              <w:rPr>
                <w:b/>
                <w:bCs/>
              </w:rPr>
              <w:t>RECOMENDAÇÕES JURÍDICAS: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  <w:t>Recomendações jurídicas expedidas:</w:t>
            </w:r>
            <w:r>
              <w:rPr>
                <w:b/>
                <w:bCs/>
              </w:rPr>
              <w:t xml:space="preserve"> 0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left="113" w:hanging="0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 w:customStyle="1">
    <w:name w:val="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Fontepargpadro6" w:customStyle="1">
    <w:name w:val="Fonte parág. padrão6"/>
    <w:qFormat/>
    <w:rsid w:val="003b38f7"/>
    <w:rPr/>
  </w:style>
  <w:style w:type="character" w:styleId="Marcas" w:customStyle="1">
    <w:name w:val="Marcas"/>
    <w:qFormat/>
    <w:rPr>
      <w:rFonts w:ascii="OpenSymbol" w:hAnsi="OpenSymbol" w:eastAsia="OpenSymbol" w:cs="OpenSymbol"/>
      <w:b/>
      <w:b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LibreOffice/7.0.3.1$Windows_X86_64 LibreOffice_project/d7547858d014d4cf69878db179d326fc3483e082</Application>
  <Pages>4</Pages>
  <Words>644</Words>
  <Characters>3778</Characters>
  <CharactersWithSpaces>4383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2021-05-04T23:30:00Z</dcterms:created>
  <dc:creator>Brenda</dc:creator>
  <dc:description/>
  <dc:language>pt-BR</dc:language>
  <cp:lastModifiedBy/>
  <cp:lastPrinted>2021-04-27T09:48:00Z</cp:lastPrinted>
  <dcterms:modified xsi:type="dcterms:W3CDTF">2021-12-07T13:07:20Z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