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360" w:before="0" w:after="0"/>
        <w:jc w:val="center"/>
        <w:rPr/>
      </w:pPr>
      <w:r>
        <w:rPr/>
      </w:r>
    </w:p>
    <w:p>
      <w:pPr>
        <w:pStyle w:val="Standard"/>
        <w:spacing w:lineRule="auto" w:line="360" w:before="0" w:after="0"/>
        <w:jc w:val="center"/>
        <w:rPr/>
      </w:pPr>
      <w:r>
        <w:rPr/>
        <w:t>Relatório de produtividade d</w:t>
      </w:r>
      <w:bookmarkStart w:id="0" w:name="_GoBack1"/>
      <w:bookmarkEnd w:id="0"/>
      <w:r>
        <w:rPr/>
        <w:t xml:space="preserve">a Procuradoria-Geral do Município de Nova Venécia/ES no mês de </w:t>
      </w:r>
      <w:r>
        <w:rPr>
          <w:rFonts w:eastAsia="NSimSun" w:cs="Arial"/>
          <w:b/>
          <w:bCs/>
          <w:color w:val="auto"/>
          <w:kern w:val="2"/>
          <w:sz w:val="24"/>
          <w:szCs w:val="24"/>
          <w:lang w:val="pt-BR" w:eastAsia="zh-CN" w:bidi="hi-IN"/>
        </w:rPr>
        <w:t>NOVEMBRO</w:t>
      </w:r>
      <w:r>
        <w:rPr>
          <w:b/>
          <w:bCs/>
        </w:rPr>
        <w:t>/2021</w:t>
      </w:r>
    </w:p>
    <w:p>
      <w:pPr>
        <w:pStyle w:val="Standard"/>
        <w:spacing w:lineRule="auto" w:line="360" w:before="0" w:after="0"/>
        <w:jc w:val="center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3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PROCESSOS JUDICIAIS: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entrada: </w:t>
            </w:r>
            <w:r>
              <w:rPr>
                <w:b/>
                <w:bCs/>
              </w:rPr>
              <w:t>92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Petições iniciais: </w:t>
            </w:r>
            <w:r>
              <w:rPr>
                <w:b/>
                <w:bCs/>
              </w:rPr>
              <w:t>0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Contestações: </w:t>
            </w:r>
            <w:r>
              <w:rPr>
                <w:b/>
                <w:bCs/>
              </w:rPr>
              <w:t>09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Recursos/Contrarrazões:</w:t>
            </w:r>
            <w:r>
              <w:rPr>
                <w:b/>
                <w:bCs/>
              </w:rPr>
              <w:t xml:space="preserve"> 07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Manifestações residuais: </w:t>
            </w:r>
            <w:r>
              <w:rPr>
                <w:b/>
                <w:bCs/>
              </w:rPr>
              <w:t>86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102</w:t>
            </w:r>
          </w:p>
        </w:tc>
      </w:tr>
    </w:tbl>
    <w:p>
      <w:pPr>
        <w:pStyle w:val="Standard"/>
        <w:spacing w:lineRule="auto" w:line="360" w:before="0" w:after="0"/>
        <w:rPr/>
      </w:pPr>
      <w:r>
        <w:rPr/>
      </w:r>
    </w:p>
    <w:p>
      <w:pPr>
        <w:pStyle w:val="Standard"/>
        <w:spacing w:lineRule="auto" w:line="360" w:before="0" w:after="0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271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EXECUÇÕES FISCAIS:</w:t>
            </w:r>
          </w:p>
          <w:p>
            <w:pPr>
              <w:pStyle w:val="Standard"/>
              <w:widowControl w:val="false"/>
              <w:suppressLineNumbers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entrada: </w:t>
            </w:r>
            <w:r>
              <w:rPr>
                <w:rFonts w:eastAsia="NSimSun" w:cs="Arial"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  <w:t>10</w:t>
            </w:r>
          </w:p>
          <w:p>
            <w:pPr>
              <w:pStyle w:val="Standard"/>
              <w:widowControl w:val="false"/>
              <w:suppressAutoHyphens w:val="true"/>
              <w:bidi w:val="0"/>
              <w:spacing w:lineRule="auto" w:line="360" w:before="113" w:after="113"/>
              <w:ind w:left="113" w:right="0" w:hanging="0"/>
              <w:jc w:val="both"/>
              <w:textAlignment w:val="baseline"/>
              <w:rPr/>
            </w:pPr>
            <w:r>
              <w:rPr/>
              <w:t xml:space="preserve">Total de crédito fiscal executado: </w:t>
            </w:r>
            <w:r>
              <w:rPr>
                <w:b/>
                <w:kern w:val="0"/>
              </w:rPr>
              <w:t>R$ 433.847,68 (quatrocentos e trinta e três mil oitocentos e quarenta e sete reais e sessenta e oito centavos).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11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328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PROCESSOS ADMINISTRATIVOS:</w:t>
            </w:r>
          </w:p>
          <w:p>
            <w:pPr>
              <w:pStyle w:val="Standard"/>
              <w:widowControl w:val="false"/>
              <w:suppressLineNumbers/>
              <w:tabs>
                <w:tab w:val="clear" w:pos="709"/>
                <w:tab w:val="left" w:pos="170" w:leader="none"/>
              </w:tabs>
              <w:spacing w:lineRule="auto" w:line="360" w:before="113" w:after="113"/>
              <w:ind w:firstLine="87"/>
              <w:rPr/>
            </w:pPr>
            <w:r>
              <w:rPr/>
              <w:t>Total de entrada:</w:t>
            </w:r>
            <w:r>
              <w:rPr>
                <w:b/>
                <w:bCs/>
              </w:rPr>
              <w:t xml:space="preserve"> 24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 xml:space="preserve">Pareceres: </w:t>
            </w:r>
            <w:r>
              <w:rPr>
                <w:b/>
                <w:bCs/>
              </w:rPr>
              <w:t>11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/>
            </w:pPr>
            <w:r>
              <w:rPr/>
              <w:t>Despachos: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/>
            </w:pPr>
            <w:r>
              <w:rPr/>
              <w:t xml:space="preserve">Total de saída: </w:t>
            </w:r>
            <w:r>
              <w:rPr>
                <w:b/>
                <w:bCs/>
              </w:rPr>
              <w:t>41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4305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PROCESSOS LICITATÓRIOS: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113" w:after="113"/>
              <w:ind w:left="113" w:right="0" w:hanging="0"/>
              <w:jc w:val="left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entrada: </w:t>
            </w:r>
            <w:r>
              <w:rPr>
                <w:b/>
                <w:bCs/>
                <w:sz w:val="24"/>
                <w:szCs w:val="24"/>
              </w:rPr>
              <w:t>44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Pareceres: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  <w:p>
            <w:pPr>
              <w:pStyle w:val="Contedodatabela"/>
              <w:widowControl w:val="false"/>
              <w:numPr>
                <w:ilvl w:val="0"/>
                <w:numId w:val="1"/>
              </w:numPr>
              <w:spacing w:lineRule="auto" w:line="360" w:before="113" w:after="113"/>
              <w:ind w:left="510" w:hanging="34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Despachos: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07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 saída: </w:t>
            </w:r>
            <w:r>
              <w:rPr>
                <w:b/>
                <w:bCs/>
                <w:sz w:val="24"/>
                <w:szCs w:val="24"/>
              </w:rPr>
              <w:t>57</w:t>
            </w:r>
          </w:p>
          <w:p>
            <w:pPr>
              <w:pStyle w:val="Standard"/>
              <w:widowControl w:val="false"/>
              <w:spacing w:lineRule="auto" w:line="360" w:before="113" w:after="113"/>
              <w:ind w:left="113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Objetos dos processos licitatórios analisados: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Sec. Saúde – Prorrogação de prazo e valor – Serviços de fisioterapia – credenciamento.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Sec. Cultura – Fase externa – Decoração natalina – Pregão Presencial.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Gabinete – Adesão a Ata de Registro de Preços – Pregão Eletrônico.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Setor de Contratos – Análise de minuta de aditivo de reequilíbrio.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Educação – Fase interna – Aquisição gêneros alimentícios da Agriculta Familiar – Chamada Pública.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Cultura e Turismo – Fase interna – Locação de sonorização e iluminação – Pregão Eletrônico.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Saúde – Prorrogação de contrato – CIM NORTE/ES – SAMU 192 – Dispensa.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Fase externa – Locação de veículos automotores – Pregão Eletrônico.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Esportes – Fase interna -Serviços de Arbitragem – Pregão Eletrônico.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Finanças – Prorrogação de Prazo e reajuste. Casa do empreendedor.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Educação – Adesão – Materiais para rede de ensino.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Educação – Prorrogação de Prazo e valor – Aluguel do imóvel destinado ao funcionamento da Secretaria Municipal de Educação.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Prorrogação de Prazo e valor – Aluguel do imóvel destinado ao funcionamento do Departamento de Recursos Humanos.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Ação Social – Rescisão Contratual amigável – Aluguel Social.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Cultura – Fase interna – Serviço de locação  de palco, tendas e estruturas – Pregão Eletrônico.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Departamento de Licitação – Impugnação ao edital – Serviços de Arbitragem – Pregão Eletrônico.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Indústria, Comércio e Serviços – Prorrogação de Contrato.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Gabinete – Adesão a Ata de Registro de Preço – Concorrência Pública.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Contratação de empresa especializada para assinatura anual de acesso à ferramenta de pesquisa de preços – Inexigibilidade.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Ação Social – Prorrogação de contrato – Vale Alimentação – Pregão Presencial.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Saúde – Prorrogação de contrato – Vale Alimentação – Pregão Presencial.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Administração – Prorrogação de contrato – Vale Alimentação – Pregão Presencial.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Finanças – análise de minuta – prorrogação de prazo e valor.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Agricultura – prorrogação de prazo e valor – vale feira – pregão presencial.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pt-BR" w:eastAsia="zh-CN" w:bidi="ar-SA"/>
              </w:rPr>
              <w:t>Sec. Saúde – prorrogação de prazo e valor – CIM NORTE/ES – Dispensa.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Prorrogação de vigência e reajuste do Contrato nº 132/2018.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Prorrogação de vigência do Contrato nº 008/2019 – Serviços de fisioterapia.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Reequilíbrio econômico-financeiro Inaplicabilidade – Possibilidade de liberação da obrigação.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Pregão eletrônico – Aquisição de drone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Pregão eletrônico – Linha Frigorígena e canaletas – Fase externa.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Pregão eletrônico – Materiais elétricos – Mudança de modalidade licitatória – Fase interna.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Pregão Eletrônico – Materiais gráficos – Fase externa.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Requerimento de rescisão contratual – Aluguel social.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Dispensa de chamamento – Termo de Colaboração – Lar de Abigail.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Aditivo de valor ao Contrato nº 020/2021 – Serviços de empreitada global.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Dispensa de chamamento – Termo de Colaboração – MEPES.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Prorrogação de prazo e valor do Contrato nº 015/2019 – Locação de caminhões e máquinas pesadas.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Pedido de remanejamento de itens em ata de registro de preços – Competência do órgão gerenciador.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Análise de minuta de contrato de rateio.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Reajuste de valor e prorrogação de vigência do contrato nº 037/2017 – Locação de imóvel.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Reajuste de valor e prorrogação de vigência do contrato nº 002/2019 – Locação de imóvel.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4"/>
                <w:szCs w:val="24"/>
                <w:lang w:val="pt-BR" w:eastAsia="zh-CN" w:bidi="ar-SA"/>
              </w:rPr>
              <w:t>Análise de minuta de edital emergencial de cultura.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Prorrogação de vigência do contrato nº 012/2019 – Serviços de equoterapia.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  <w:t>Dispensa de licitação – Aquisição de óleo de cozinha – Sec. Ação Social 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360" w:before="113" w:after="113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sz w:val="22"/>
                <w:szCs w:val="22"/>
                <w:lang w:val="pt-BR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pt-BR" w:eastAsia="zh-CN" w:bidi="ar-SA"/>
              </w:rPr>
              <w:t>Consulta acerca da legalidade da formalização de acordo de cooperação com associação cujo associado é possível gestor da parceria.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Standard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1590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ind w:left="720" w:hanging="0"/>
              <w:jc w:val="center"/>
              <w:rPr/>
            </w:pPr>
            <w:r>
              <w:rPr>
                <w:b/>
                <w:bCs/>
              </w:rPr>
              <w:t>OFÍCIOS:</w:t>
            </w:r>
          </w:p>
          <w:p>
            <w:pPr>
              <w:pStyle w:val="Standard"/>
              <w:widowControl w:val="false"/>
              <w:suppressLineNumbers/>
              <w:suppressAutoHyphens w:val="true"/>
              <w:bidi w:val="0"/>
              <w:spacing w:lineRule="auto" w:line="360" w:before="0" w:after="0"/>
              <w:ind w:left="113" w:right="0" w:hanging="0"/>
              <w:jc w:val="both"/>
              <w:textAlignment w:val="baseline"/>
              <w:rPr/>
            </w:pPr>
            <w:r>
              <w:rPr/>
              <w:t>Ofícios expedidos:</w:t>
            </w:r>
            <w:r>
              <w:rPr>
                <w:b/>
                <w:bCs/>
              </w:rPr>
              <w:t xml:space="preserve"> 17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both"/>
        <w:rPr/>
      </w:pPr>
      <w:r>
        <w:rPr/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tedodatabela"/>
              <w:widowControl w:val="false"/>
              <w:spacing w:lineRule="auto" w:line="276"/>
              <w:ind w:left="72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widowControl w:val="false"/>
              <w:ind w:left="720" w:hanging="0"/>
              <w:jc w:val="center"/>
              <w:rPr/>
            </w:pPr>
            <w:r>
              <w:rPr>
                <w:b/>
                <w:bCs/>
              </w:rPr>
              <w:t>RECOMENDAÇÕES JURÍDICAS: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/>
            </w:pPr>
            <w:r>
              <w:rPr/>
              <w:t>Recomendações jurídicas expedidas:</w:t>
            </w:r>
            <w:r>
              <w:rPr>
                <w:b/>
                <w:bCs/>
              </w:rPr>
              <w:t xml:space="preserve"> 0</w:t>
            </w:r>
          </w:p>
          <w:p>
            <w:pPr>
              <w:pStyle w:val="Standard"/>
              <w:widowControl w:val="false"/>
              <w:suppressLineNumbers/>
              <w:ind w:firstLine="17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ind w:left="113" w:hanging="0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cteresdenotadefim" w:customStyle="1">
    <w:name w:val="Caracteres de nota de fim"/>
    <w:qFormat/>
    <w:rPr/>
  </w:style>
  <w:style w:type="character" w:styleId="Ncoradanotadefim" w:customStyle="1">
    <w:name w:val="Âncora da nota de fim"/>
    <w:rPr>
      <w:vertAlign w:val="superscript"/>
    </w:rPr>
  </w:style>
  <w:style w:type="character" w:styleId="Fontepargpadro6" w:customStyle="1">
    <w:name w:val="Fonte parág. padrão6"/>
    <w:qFormat/>
    <w:rsid w:val="003b38f7"/>
    <w:rPr/>
  </w:style>
  <w:style w:type="character" w:styleId="Marcas" w:customStyle="1">
    <w:name w:val="Marcas"/>
    <w:qFormat/>
    <w:rPr>
      <w:rFonts w:ascii="OpenSymbol" w:hAnsi="OpenSymbol" w:eastAsia="OpenSymbol" w:cs="OpenSymbol"/>
      <w:b/>
      <w:bCs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ontedodatabela" w:customStyle="1">
    <w:name w:val="Conteúdo da tabela"/>
    <w:basedOn w:val="Standard"/>
    <w:qFormat/>
    <w:pPr>
      <w:widowControl w:val="false"/>
      <w:suppressLineNumbers/>
    </w:pPr>
    <w:rPr/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Application>LibreOffice/7.0.3.1$Windows_X86_64 LibreOffice_project/d7547858d014d4cf69878db179d326fc3483e082</Application>
  <Pages>4</Pages>
  <Words>644</Words>
  <Characters>3778</Characters>
  <CharactersWithSpaces>4383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2021-05-04T23:30:00Z</dcterms:created>
  <dc:creator>Brenda</dc:creator>
  <dc:description/>
  <dc:language>pt-BR</dc:language>
  <cp:lastModifiedBy/>
  <cp:lastPrinted>2021-04-27T09:48:00Z</cp:lastPrinted>
  <dcterms:modified xsi:type="dcterms:W3CDTF">2021-12-07T13:07:20Z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