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 w:before="0" w:after="0"/>
        <w:jc w:val="center"/>
        <w:rPr/>
      </w:pPr>
      <w:r>
        <w:rPr/>
      </w:r>
    </w:p>
    <w:p>
      <w:pPr>
        <w:pStyle w:val="Standard"/>
        <w:spacing w:lineRule="auto" w:line="360" w:before="0" w:after="0"/>
        <w:jc w:val="center"/>
        <w:rPr/>
      </w:pPr>
      <w:r>
        <w:rPr/>
        <w:t>Relatório de produtividade d</w:t>
      </w:r>
      <w:bookmarkStart w:id="0" w:name="_GoBack1"/>
      <w:bookmarkEnd w:id="0"/>
      <w:r>
        <w:rPr/>
        <w:t xml:space="preserve">a Procuradoria-Geral do Município de Nova Venécia/ES no mês de </w:t>
      </w:r>
      <w:r>
        <w:rPr>
          <w:rFonts w:eastAsia="NSimSun" w:cs="Arial"/>
          <w:b/>
          <w:bCs/>
          <w:color w:val="auto"/>
          <w:kern w:val="2"/>
          <w:sz w:val="24"/>
          <w:szCs w:val="24"/>
          <w:lang w:val="pt-BR" w:eastAsia="zh-CN" w:bidi="hi-IN"/>
        </w:rPr>
        <w:t>SETEMBRO</w:t>
      </w:r>
      <w:r>
        <w:rPr>
          <w:b/>
          <w:bCs/>
        </w:rPr>
        <w:t>/2021</w:t>
      </w:r>
    </w:p>
    <w:p>
      <w:pPr>
        <w:pStyle w:val="Standard"/>
        <w:spacing w:lineRule="auto" w:line="360" w:before="0" w:after="0"/>
        <w:jc w:val="center"/>
        <w:rPr/>
      </w:pPr>
      <w:r>
        <w:rPr/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4305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spacing w:lineRule="auto" w:line="360" w:before="0" w:after="0"/>
              <w:ind w:left="72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dodatabela"/>
              <w:widowControl w:val="false"/>
              <w:spacing w:lineRule="auto" w:line="360" w:before="0" w:after="0"/>
              <w:ind w:left="72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PROCESSOS JUDICIAIS:</w:t>
            </w:r>
          </w:p>
          <w:p>
            <w:pPr>
              <w:pStyle w:val="Standard"/>
              <w:widowControl w:val="false"/>
              <w:suppressAutoHyphens w:val="true"/>
              <w:bidi w:val="0"/>
              <w:spacing w:lineRule="auto" w:line="360" w:before="113" w:after="113"/>
              <w:ind w:left="113" w:right="0" w:hanging="0"/>
              <w:jc w:val="both"/>
              <w:textAlignment w:val="baseline"/>
              <w:rPr/>
            </w:pPr>
            <w:r>
              <w:rPr/>
              <w:t>Total de entrada: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35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360" w:before="113" w:after="113"/>
              <w:ind w:left="510" w:hanging="340"/>
              <w:jc w:val="both"/>
              <w:rPr/>
            </w:pPr>
            <w:r>
              <w:rPr/>
              <w:t>Petições iniciais: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360" w:before="113" w:after="113"/>
              <w:ind w:left="510" w:hanging="340"/>
              <w:jc w:val="both"/>
              <w:rPr/>
            </w:pPr>
            <w:r>
              <w:rPr/>
              <w:t xml:space="preserve">Contestações: </w:t>
            </w:r>
            <w:r>
              <w:rPr>
                <w:b/>
                <w:bCs/>
              </w:rPr>
              <w:t>12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360" w:before="113" w:after="113"/>
              <w:ind w:left="510" w:hanging="340"/>
              <w:jc w:val="both"/>
              <w:rPr/>
            </w:pPr>
            <w:r>
              <w:rPr/>
              <w:t xml:space="preserve">Recursos/Contrarrazões: </w:t>
            </w:r>
            <w:r>
              <w:rPr>
                <w:b/>
                <w:bCs/>
              </w:rPr>
              <w:t>18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360" w:before="113" w:after="113"/>
              <w:ind w:left="510" w:hanging="340"/>
              <w:jc w:val="both"/>
              <w:rPr/>
            </w:pPr>
            <w:r>
              <w:rPr/>
              <w:t xml:space="preserve">Manifestações residuais: </w:t>
            </w:r>
            <w:r>
              <w:rPr>
                <w:b/>
                <w:bCs/>
              </w:rPr>
              <w:t>90</w:t>
            </w:r>
            <w:r>
              <w:rPr>
                <w:b/>
              </w:rPr>
              <w:t xml:space="preserve"> </w:t>
            </w:r>
          </w:p>
          <w:p>
            <w:pPr>
              <w:pStyle w:val="Standard"/>
              <w:widowControl w:val="false"/>
              <w:spacing w:lineRule="auto" w:line="360" w:before="113" w:after="113"/>
              <w:ind w:left="113" w:hanging="0"/>
              <w:jc w:val="both"/>
              <w:rPr/>
            </w:pPr>
            <w:r>
              <w:rPr/>
              <w:t xml:space="preserve">Total de saída: </w:t>
            </w:r>
            <w:r>
              <w:rPr>
                <w:b/>
                <w:bCs/>
              </w:rPr>
              <w:t>121</w:t>
            </w:r>
          </w:p>
        </w:tc>
      </w:tr>
    </w:tbl>
    <w:p>
      <w:pPr>
        <w:pStyle w:val="Standard"/>
        <w:spacing w:lineRule="auto" w:line="360" w:before="0" w:after="0"/>
        <w:rPr/>
      </w:pPr>
      <w:r>
        <w:rPr/>
      </w:r>
    </w:p>
    <w:p>
      <w:pPr>
        <w:pStyle w:val="Standard"/>
        <w:spacing w:lineRule="auto" w:line="360" w:before="0" w:after="0"/>
        <w:rPr/>
      </w:pPr>
      <w:r>
        <w:rPr/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2715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spacing w:lineRule="auto" w:line="360" w:before="0" w:after="0"/>
              <w:ind w:left="72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dodatabela"/>
              <w:widowControl w:val="false"/>
              <w:spacing w:lineRule="auto" w:line="360" w:before="0" w:after="0"/>
              <w:ind w:left="720" w:hanging="0"/>
              <w:jc w:val="center"/>
              <w:rPr/>
            </w:pPr>
            <w:r>
              <w:rPr>
                <w:b/>
                <w:bCs/>
              </w:rPr>
              <w:t>EXECUÇÕES FISCAIS:</w:t>
            </w:r>
          </w:p>
          <w:p>
            <w:pPr>
              <w:pStyle w:val="Standard"/>
              <w:widowControl w:val="false"/>
              <w:suppressLineNumbers/>
              <w:spacing w:lineRule="auto" w:line="360" w:before="113" w:after="113"/>
              <w:ind w:left="113" w:hanging="0"/>
              <w:jc w:val="both"/>
              <w:rPr/>
            </w:pPr>
            <w:r>
              <w:rPr/>
              <w:t xml:space="preserve">Total de entrada: </w:t>
            </w:r>
            <w:r>
              <w:rPr>
                <w:b/>
                <w:bCs/>
              </w:rPr>
              <w:t>13</w:t>
            </w:r>
          </w:p>
          <w:p>
            <w:pPr>
              <w:pStyle w:val="Standard"/>
              <w:widowControl w:val="false"/>
              <w:suppressAutoHyphens w:val="true"/>
              <w:bidi w:val="0"/>
              <w:spacing w:lineRule="auto" w:line="360" w:before="113" w:after="113"/>
              <w:ind w:left="113" w:right="0" w:hanging="0"/>
              <w:jc w:val="both"/>
              <w:textAlignment w:val="baseline"/>
              <w:rPr/>
            </w:pPr>
            <w:r>
              <w:rPr/>
              <w:t xml:space="preserve">Total de crédito fiscal executado: </w:t>
            </w:r>
            <w:r>
              <w:rPr>
                <w:b/>
                <w:kern w:val="0"/>
              </w:rPr>
              <w:t xml:space="preserve">R$ </w:t>
            </w:r>
            <w:r>
              <w:rPr>
                <w:b/>
                <w:kern w:val="0"/>
              </w:rPr>
              <w:t xml:space="preserve">132.096,85 </w:t>
            </w:r>
            <w:r>
              <w:rPr>
                <w:b/>
                <w:kern w:val="0"/>
              </w:rPr>
              <w:t>(</w:t>
            </w:r>
            <w:r>
              <w:rPr>
                <w:rFonts w:eastAsia="NSimSun" w:cs="Arial"/>
                <w:b/>
                <w:color w:val="auto"/>
                <w:kern w:val="0"/>
                <w:sz w:val="24"/>
                <w:szCs w:val="24"/>
                <w:lang w:val="pt-BR" w:eastAsia="zh-CN" w:bidi="hi-IN"/>
              </w:rPr>
              <w:t>cento e trinta e dois mil e noventa e seis reais e oitenta e cinco</w:t>
            </w:r>
            <w:r>
              <w:rPr>
                <w:b/>
                <w:kern w:val="0"/>
              </w:rPr>
              <w:t xml:space="preserve"> centavos).</w:t>
            </w:r>
          </w:p>
          <w:p>
            <w:pPr>
              <w:pStyle w:val="Standard"/>
              <w:widowControl w:val="false"/>
              <w:spacing w:lineRule="auto" w:line="360" w:before="113" w:after="113"/>
              <w:ind w:left="113" w:hanging="0"/>
              <w:jc w:val="both"/>
              <w:rPr/>
            </w:pPr>
            <w:r>
              <w:rPr/>
              <w:t xml:space="preserve">Total de saída: </w:t>
            </w:r>
            <w:r>
              <w:rPr>
                <w:b/>
                <w:bCs/>
              </w:rPr>
              <w:t>16</w:t>
            </w:r>
          </w:p>
        </w:tc>
      </w:tr>
    </w:tbl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Standard"/>
        <w:spacing w:lineRule="auto" w:line="360" w:before="0" w:after="0"/>
        <w:jc w:val="both"/>
        <w:rPr/>
      </w:pPr>
      <w:r>
        <w:rPr/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3285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spacing w:lineRule="auto" w:line="360" w:before="0" w:after="0"/>
              <w:ind w:left="72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dodatabela"/>
              <w:widowControl w:val="false"/>
              <w:spacing w:lineRule="auto" w:line="360" w:before="0" w:after="0"/>
              <w:ind w:left="720" w:hanging="0"/>
              <w:jc w:val="center"/>
              <w:rPr/>
            </w:pPr>
            <w:r>
              <w:rPr>
                <w:b/>
                <w:bCs/>
              </w:rPr>
              <w:t>PROCESSOS ADMINISTRATIVOS:</w:t>
            </w:r>
          </w:p>
          <w:p>
            <w:pPr>
              <w:pStyle w:val="Standard"/>
              <w:widowControl w:val="false"/>
              <w:suppressLineNumbers/>
              <w:tabs>
                <w:tab w:val="clear" w:pos="709"/>
                <w:tab w:val="left" w:pos="170" w:leader="none"/>
              </w:tabs>
              <w:spacing w:lineRule="auto" w:line="360" w:before="113" w:after="113"/>
              <w:ind w:firstLine="87"/>
              <w:rPr/>
            </w:pPr>
            <w:r>
              <w:rPr/>
              <w:t>Total de entrada: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44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360" w:before="113" w:after="113"/>
              <w:ind w:left="510" w:hanging="340"/>
              <w:jc w:val="both"/>
              <w:rPr/>
            </w:pPr>
            <w:r>
              <w:rPr/>
              <w:t xml:space="preserve">Pareceres: </w:t>
            </w:r>
            <w:r>
              <w:rPr>
                <w:b/>
                <w:bCs/>
              </w:rPr>
              <w:t>18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360" w:before="113" w:after="113"/>
              <w:ind w:left="510" w:hanging="340"/>
              <w:jc w:val="both"/>
              <w:rPr/>
            </w:pPr>
            <w:r>
              <w:rPr/>
              <w:t>Despachos: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36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Standard"/>
              <w:widowControl w:val="false"/>
              <w:spacing w:lineRule="auto" w:line="360" w:before="113" w:after="113"/>
              <w:ind w:left="113" w:hanging="0"/>
              <w:jc w:val="both"/>
              <w:rPr/>
            </w:pPr>
            <w:r>
              <w:rPr/>
              <w:t xml:space="preserve">Total de saída: </w:t>
            </w:r>
            <w:r>
              <w:rPr>
                <w:b/>
                <w:bCs/>
              </w:rPr>
              <w:t>54</w:t>
            </w:r>
          </w:p>
        </w:tc>
      </w:tr>
    </w:tbl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4305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spacing w:lineRule="auto" w:line="360" w:before="0" w:after="0"/>
              <w:ind w:left="72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dodatabela"/>
              <w:widowControl w:val="false"/>
              <w:spacing w:lineRule="auto" w:line="360" w:before="0" w:after="0"/>
              <w:ind w:left="720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PROCESSOS LICITATÓRIOS:</w:t>
            </w:r>
          </w:p>
          <w:p>
            <w:pPr>
              <w:pStyle w:val="Standard"/>
              <w:widowControl w:val="false"/>
              <w:suppressLineNumbers/>
              <w:suppressAutoHyphens w:val="true"/>
              <w:bidi w:val="0"/>
              <w:spacing w:lineRule="auto" w:line="360" w:before="113" w:after="113"/>
              <w:ind w:left="113" w:right="0" w:hanging="0"/>
              <w:jc w:val="left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de entrada: </w:t>
            </w:r>
            <w:r>
              <w:rPr>
                <w:b/>
                <w:bCs/>
                <w:sz w:val="24"/>
                <w:szCs w:val="24"/>
              </w:rPr>
              <w:t>48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360" w:before="113" w:after="113"/>
              <w:ind w:left="510" w:hanging="3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Pareceres: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59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360" w:before="113" w:after="113"/>
              <w:ind w:left="510" w:hanging="3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Despachos: </w:t>
            </w:r>
            <w:r>
              <w:rPr>
                <w:b/>
                <w:bCs/>
                <w:sz w:val="24"/>
                <w:szCs w:val="24"/>
              </w:rPr>
              <w:t>15</w:t>
            </w:r>
          </w:p>
          <w:p>
            <w:pPr>
              <w:pStyle w:val="Standard"/>
              <w:widowControl w:val="false"/>
              <w:spacing w:lineRule="auto" w:line="360" w:before="113" w:after="113"/>
              <w:ind w:left="113" w:hanging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de saída: </w:t>
            </w:r>
            <w:r>
              <w:rPr>
                <w:b/>
                <w:bCs/>
                <w:sz w:val="24"/>
                <w:szCs w:val="24"/>
              </w:rPr>
              <w:t>74</w:t>
            </w:r>
          </w:p>
          <w:p>
            <w:pPr>
              <w:pStyle w:val="Standard"/>
              <w:widowControl w:val="false"/>
              <w:spacing w:lineRule="auto" w:line="360" w:before="113" w:after="113"/>
              <w:ind w:left="113" w:hanging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Objetos dos processos licitatórios analisados: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Sec. Saúde - Acréscimo de cláusula em contrato.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Sec. Agricultura – acréscimo de 25% contrato.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zh-CN" w:bidi="ar-SA"/>
              </w:rPr>
              <w:t>Sec. Agricultura – Pregos para pontes.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zh-CN" w:bidi="ar-SA"/>
              </w:rPr>
              <w:t>Gabinete – Adesão a ata.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zh-CN" w:bidi="ar-SA"/>
              </w:rPr>
              <w:t>Sec. Educação – aditivo linha transporte escolar.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zh-CN" w:bidi="ar-SA"/>
              </w:rPr>
              <w:t>Sec. Educação – reajuste transporte escolar.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zh-CN" w:bidi="ar-SA"/>
              </w:rPr>
              <w:t>Sec. Saúde – Aditivo 25% transporte vans.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zh-CN" w:bidi="ar-SA"/>
              </w:rPr>
              <w:t xml:space="preserve">Sec. Obras – Aditivo 25%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veículos pesados.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Sec. Agricultura – Aditivo 25% veículos pesados.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Sec. Educação – Prorrogação contratos transporte escolar.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Sec. Meio ambiente – prorrogação de prazo transporte resíduos sólidos.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Sec. Finanças- Fase interna – consultoria tributária.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Sec. Finanças – prorrogação execução contrato Geomais.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Sec. Educação – fase interna – aquisição de materiais de construção.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Sec. 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4"/>
                <w:szCs w:val="24"/>
                <w:lang w:val="pt-BR" w:eastAsia="zh-CN" w:bidi="ar-SA"/>
              </w:rPr>
              <w:t>e Ação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 xml:space="preserve"> Social 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Aluguel Social.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Sec. de Administração – fase externa – Materiais de expediente.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Setor de Contratos - Prorrogação de contrato – análise da minuta.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 xml:space="preserve">Sec.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e Administração – fase externa – Materiais de Construção.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Sec. de Administração – fase interna – Aquisição de materiais e equipamentos.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Sec. de Ação Social – fase interna – Aquisição de gêneros Alimentícios para Casa do Vovô.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Sec. de Obras – fase interna – Aquisição de material de construção.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Sec. de Administração – fase interna – Recarga de extintores de incêndio.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Sec. de Educação – fase interna – Equipamentos tecnológicos.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Sec. de Administração – fase interna - Aquisição de linha frigorígena e canaletas.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Consulta – Pregão eletrônico nº 008/2021.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 xml:space="preserve">Prorrogação de contrato – Ponto de táxi.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Pregão eletrônico – SRP – Análise de suposto impedimento e irregularidade na contratação de empresa licitante.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Tomada de Preço – Empreitada Global – Obra dos pontos de táxi.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Reajuste do valor do contrato – Serviços de informática.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Reequilíbrio econômico-financeiro.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Chamada Pública – Compra com doação simultânea – Fase externa – Sec. Ação Social.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Acordo de cooperação – Análise de viabilidade jurídica – Alimentos – Casa do Vovô.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Acordo de Cooperação – Ausência da minuta.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zh-CN" w:bidi="ar-SA"/>
              </w:rPr>
              <w:t>Dispensa de Chamamento Público – Casa do Vovô – Parecer inicial.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zh-CN" w:bidi="ar-SA"/>
              </w:rPr>
              <w:t>Prorrogação de vigência contratual – Exames laboratoriais – Sec. Saúde.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Pregão eletrônico – SRP – Locação de veículos – Fase interna.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zh-CN" w:bidi="ar-SA"/>
              </w:rPr>
              <w:t>Pregão eletrônico – Medicamentos – Fase externa – Sec. Saúde.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zh-CN" w:bidi="ar-SA"/>
              </w:rPr>
              <w:t>Prorrogação de contrato – Adotar o trâmite necessário.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zh-CN" w:bidi="ar-SA"/>
              </w:rPr>
              <w:t>Inclusão de dotação orçamentária – Apostilamento.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zh-CN" w:bidi="ar-SA"/>
              </w:rPr>
              <w:t>Solicitação de análise de documentação para fins de Regularização Fundiária.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Pregão eletrônico – SRP – Equipamentos de informática – Fase externa.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Chamamento Público – Necessária a abertura do procedimento adequado.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Prorrogação de vigência contratual – Análise de minuta do termo aditivo.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Reequilíbrio econômico-financeiro – Impossibilidade.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Requerimento de rescisão contratual.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Reequilíbrio econômico-financeiro – Impossibilidade de anális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e.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zh-CN" w:bidi="ar-SA"/>
              </w:rPr>
              <w:t>Reequilíbrio econômico-financeiro – Impossibilidade  de concessão.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Pedido de subvenção financeira – Análise discricionária da Administração.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Adesão à ata de registro de preços – Competência do órgão gerenciador.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Prorrogação de vigência contratual – Possibilidade desde que atendidas as recomendações.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Pregão Eletrônico – Aquisição de patrulha mecanizada – Sec. Agricultura.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zh-CN" w:bidi="ar-SA"/>
              </w:rPr>
              <w:t>Análise de suposto impedimento e irregularidade na contratação de empresa licitante.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zh-CN" w:bidi="ar-SA"/>
              </w:rPr>
              <w:t xml:space="preserve">Tomada de Preço – Reforma de Unidade de Saúde – Fase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interna – Sec. Saúde.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Pregão Eletrônico – SRP – Aquisição de alimentos – Fase Externa – Sec. Assistência Social.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Necessidade de juntada da minuta do acordo de cooperação para análise jurídica.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Acordo de Cooperação – Adaptação de imóvel para remanejar idosos com suspeita de Covid.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Pregão Eletrônico – SRP – Materiais permanentes e mobiliários – Fase interna.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Tomada de Preço – Reforma do Centro de Especialidades Odontológicas – Fase interna – Sec. Saúde.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Pregão Eletrônico – SRP – Materiais de copa e cozinha – Fase interna.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pt-BR" w:eastAsia="zh-CN" w:bidi="ar-SA"/>
              </w:rPr>
              <w:t>Pregão Eletrônico – SRP – Materiais hidráulicos – Fase interna.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zh-CN" w:bidi="ar-SA"/>
              </w:rPr>
              <w:t>Reequilíbrio econômico-financeiro – Impossibilidade.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zh-CN" w:bidi="ar-SA"/>
              </w:rPr>
              <w:t>Pregão Eletrônico – SRP – Dedetização – Fase interna.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zh-CN" w:bidi="ar-SA"/>
              </w:rPr>
              <w:t>Pregão Eletrônico – SRP – Materiais e produtos laboratoriais – Fase interna.</w:t>
            </w:r>
          </w:p>
        </w:tc>
      </w:tr>
    </w:tbl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Standard"/>
        <w:spacing w:lineRule="auto" w:line="360" w:before="0" w:after="0"/>
        <w:jc w:val="both"/>
        <w:rPr/>
      </w:pPr>
      <w:r>
        <w:rPr/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1590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spacing w:lineRule="auto" w:line="360" w:before="0" w:after="0"/>
              <w:ind w:left="72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dodatabela"/>
              <w:widowControl w:val="false"/>
              <w:spacing w:lineRule="auto" w:line="360" w:before="0" w:after="0"/>
              <w:ind w:left="720" w:hanging="0"/>
              <w:jc w:val="center"/>
              <w:rPr/>
            </w:pPr>
            <w:r>
              <w:rPr>
                <w:b/>
                <w:bCs/>
              </w:rPr>
              <w:t>OFÍCIOS:</w:t>
            </w:r>
          </w:p>
          <w:p>
            <w:pPr>
              <w:pStyle w:val="Standard"/>
              <w:widowControl w:val="false"/>
              <w:suppressLineNumbers/>
              <w:suppressAutoHyphens w:val="true"/>
              <w:bidi w:val="0"/>
              <w:spacing w:lineRule="auto" w:line="360" w:before="0" w:after="0"/>
              <w:ind w:left="113" w:right="0" w:hanging="0"/>
              <w:jc w:val="both"/>
              <w:textAlignment w:val="baseline"/>
              <w:rPr/>
            </w:pPr>
            <w:r>
              <w:rPr/>
              <w:t>Ofícios expedidos: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32</w:t>
            </w:r>
          </w:p>
        </w:tc>
      </w:tr>
    </w:tbl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spacing w:lineRule="auto" w:line="276"/>
              <w:ind w:left="72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dodatabela"/>
              <w:widowControl w:val="false"/>
              <w:ind w:left="720" w:hanging="0"/>
              <w:jc w:val="center"/>
              <w:rPr/>
            </w:pPr>
            <w:r>
              <w:rPr>
                <w:b/>
                <w:bCs/>
              </w:rPr>
              <w:t>RECOMENDAÇÕES JURÍDICAS:</w:t>
            </w:r>
          </w:p>
          <w:p>
            <w:pPr>
              <w:pStyle w:val="Standard"/>
              <w:widowControl w:val="false"/>
              <w:suppressLineNumbers/>
              <w:ind w:firstLine="170"/>
              <w:jc w:val="both"/>
              <w:rPr/>
            </w:pPr>
            <w:r>
              <w:rPr/>
            </w:r>
          </w:p>
          <w:p>
            <w:pPr>
              <w:pStyle w:val="Standard"/>
              <w:widowControl w:val="false"/>
              <w:suppressLineNumbers/>
              <w:ind w:firstLine="170"/>
              <w:jc w:val="both"/>
              <w:rPr/>
            </w:pPr>
            <w:r>
              <w:rPr/>
              <w:t>Recomendações jurídicas expedidas:</w:t>
            </w:r>
            <w:r>
              <w:rPr>
                <w:b/>
                <w:bCs/>
              </w:rPr>
              <w:t xml:space="preserve"> 01</w:t>
            </w:r>
          </w:p>
          <w:p>
            <w:pPr>
              <w:pStyle w:val="Standard"/>
              <w:widowControl w:val="false"/>
              <w:suppressLineNumbers/>
              <w:ind w:firstLine="17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ind w:left="113" w:hanging="0"/>
              <w:rPr/>
            </w:pPr>
            <w:r>
              <w:rPr>
                <w:rStyle w:val="Nfaseforte"/>
              </w:rPr>
              <w:t xml:space="preserve"> </w:t>
            </w:r>
            <w:r>
              <w:rPr>
                <w:rStyle w:val="Nfaseforte"/>
              </w:rPr>
              <w:t>Ob</w:t>
            </w:r>
            <w:r>
              <w:rPr>
                <w:rStyle w:val="Nfaseforte"/>
                <w:color w:val="000000"/>
              </w:rPr>
              <w:t>jetos recomendados:</w:t>
            </w:r>
          </w:p>
          <w:p>
            <w:pPr>
              <w:pStyle w:val="Normal"/>
              <w:widowControl w:val="false"/>
              <w:ind w:left="113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lineRule="auto" w:line="276"/>
              <w:jc w:val="both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lang w:bidi="ar-SA"/>
              </w:rPr>
            </w:pPr>
            <w:r>
              <w:rPr>
                <w:rStyle w:val="Nfaseforte"/>
                <w:rFonts w:eastAsia="Times New Roman" w:cs="Times New Roman"/>
                <w:b w:val="false"/>
                <w:bCs w:val="false"/>
                <w:color w:val="000000"/>
                <w:lang w:bidi="ar-SA"/>
              </w:rPr>
              <w:t>Abertura de Processo Administrativo Disciplinar.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both"/>
              <w:rPr>
                <w:rFonts w:eastAsia="Times New Roman" w:cs="Times New Roman"/>
                <w:color w:val="000000"/>
                <w:lang w:bidi="ar-SA"/>
              </w:rPr>
            </w:pPr>
            <w:r>
              <w:rPr>
                <w:rFonts w:eastAsia="Times New Roman" w:cs="Times New Roman"/>
                <w:color w:val="000000"/>
                <w:lang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cteresdenotadefim" w:customStyle="1">
    <w:name w:val="Caracteres de nota de fim"/>
    <w:qFormat/>
    <w:rPr/>
  </w:style>
  <w:style w:type="character" w:styleId="Ncoradanotadefim" w:customStyle="1">
    <w:name w:val="Âncora da nota de fim"/>
    <w:rPr>
      <w:vertAlign w:val="superscript"/>
    </w:rPr>
  </w:style>
  <w:style w:type="character" w:styleId="Fontepargpadro6" w:customStyle="1">
    <w:name w:val="Fonte parág. padrão6"/>
    <w:qFormat/>
    <w:rsid w:val="003b38f7"/>
    <w:rPr/>
  </w:style>
  <w:style w:type="character" w:styleId="Marcas" w:customStyle="1">
    <w:name w:val="Marcas"/>
    <w:qFormat/>
    <w:rPr>
      <w:rFonts w:ascii="OpenSymbol" w:hAnsi="OpenSymbol" w:eastAsia="OpenSymbol" w:cs="OpenSymbol"/>
      <w:b/>
      <w:bCs/>
    </w:rPr>
  </w:style>
  <w:style w:type="character" w:styleId="Nfaseforte" w:customStyle="1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tulo1" w:customStyle="1">
    <w:name w:val="Título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ontedodatabela" w:customStyle="1">
    <w:name w:val="Conteúdo da tabela"/>
    <w:basedOn w:val="Standard"/>
    <w:qFormat/>
    <w:pPr>
      <w:widowControl w:val="false"/>
      <w:suppressLineNumbers/>
    </w:pPr>
    <w:rPr/>
  </w:style>
  <w:style w:type="paragraph" w:styleId="Endnote" w:customStyle="1">
    <w:name w:val="Endnote"/>
    <w:basedOn w:val="Standard"/>
    <w:qFormat/>
    <w:pPr>
      <w:suppressLineNumbers/>
      <w:ind w:left="339" w:hanging="339"/>
    </w:pPr>
    <w:rPr>
      <w:sz w:val="20"/>
      <w:szCs w:val="20"/>
    </w:rPr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Application>LibreOffice/7.0.3.1$Windows_X86_64 LibreOffice_project/d7547858d014d4cf69878db179d326fc3483e082</Application>
  <Pages>5</Pages>
  <Words>696</Words>
  <Characters>4229</Characters>
  <CharactersWithSpaces>4862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2021-05-04T23:30:00Z</dcterms:created>
  <dc:creator>Brenda</dc:creator>
  <dc:description/>
  <dc:language>pt-BR</dc:language>
  <cp:lastModifiedBy/>
  <cp:lastPrinted>2021-04-27T09:48:00Z</cp:lastPrinted>
  <dcterms:modified xsi:type="dcterms:W3CDTF">2021-10-05T10:50:43Z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