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0"/>
          <w:szCs w:val="24"/>
        </w:rPr>
      </w:pPr>
      <w:r>
        <w:rPr>
          <w:rFonts w:cs="Calibri" w:cstheme="minorHAnsi"/>
          <w:b/>
          <w:bCs/>
          <w:sz w:val="30"/>
          <w:szCs w:val="24"/>
        </w:rPr>
        <w:t xml:space="preserve">LISTA DE VERIFICAÇÃO - AQUISIÇÃO DE BENS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  <w:t>Obs.1: Na coluna “ESTADO” preencher com as letras “S” ou “N.A.”, sendo:</w:t>
      </w:r>
    </w:p>
    <w:p>
      <w:pPr>
        <w:pStyle w:val="Normal"/>
        <w:spacing w:lineRule="auto" w:line="24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  <w:t xml:space="preserve">S – SIM – Neste caso, deverá ser indica a página correspondente, </w:t>
      </w:r>
      <w:r>
        <w:rPr>
          <w:rFonts w:eastAsia="Calibri" w:cs="Calibri" w:cstheme="minorHAnsi"/>
          <w:bCs/>
          <w:color w:val="FF0000"/>
          <w:kern w:val="0"/>
          <w:sz w:val="24"/>
          <w:szCs w:val="24"/>
          <w:lang w:val="pt-BR" w:eastAsia="en-US" w:bidi="ar-SA"/>
        </w:rPr>
        <w:t>caso existente</w:t>
      </w:r>
      <w:r>
        <w:rPr>
          <w:rFonts w:cs="Calibri" w:cstheme="minorHAnsi"/>
          <w:bCs/>
          <w:color w:val="FF0000"/>
          <w:sz w:val="24"/>
          <w:szCs w:val="24"/>
        </w:rPr>
        <w:t>.</w:t>
      </w:r>
    </w:p>
    <w:p>
      <w:pPr>
        <w:pStyle w:val="Normal"/>
        <w:spacing w:lineRule="auto" w:line="24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  <w:t>N.A.– NÃO SE APLICA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  <w:t>Obs.2: Os processos somente deverão ser encaminhados à Procuradoria Jurídica após o TOTAL preenchimento/cumprimento da presente lista de verificação.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Cs/>
          <w:color w:val="FF0000"/>
          <w:sz w:val="24"/>
          <w:szCs w:val="24"/>
        </w:rPr>
      </w:pPr>
      <w:r>
        <w:rPr>
          <w:rFonts w:cs="Calibri" w:cstheme="minorHAnsi"/>
          <w:bCs/>
          <w:color w:val="FF0000"/>
          <w:sz w:val="24"/>
          <w:szCs w:val="24"/>
        </w:rPr>
      </w:r>
    </w:p>
    <w:tbl>
      <w:tblPr>
        <w:tblStyle w:val="Tabelacomgrade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59"/>
        <w:gridCol w:w="1274"/>
      </w:tblGrid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>VERIFICAÇÃO COMUM A TODAS AS CONTRATAÇÕES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ESTADO</w:t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1. </w:t>
            </w:r>
            <w:r>
              <w:rPr>
                <w:rFonts w:eastAsia="Calibri" w:cs="Calibri" w:cstheme="minorHAnsi"/>
                <w:bCs/>
                <w:kern w:val="0"/>
                <w:sz w:val="24"/>
                <w:szCs w:val="24"/>
                <w:lang w:val="pt-BR" w:eastAsia="en-US" w:bidi="ar-SA"/>
              </w:rPr>
              <w:t>Houve abertura de processo administrativo devidamente autuado e numerado, quando processo físico, ou registrado quando processo eletrônico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?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2. Consta a solicitação/requisição do objeto, elaborada pelo agente ou setor competente?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3. Foram elaborados e juntados ao processo os Estudos Técnicos Preliminares, conforme as diretrizes constantes da IN SEGES/MP nº 40/2020?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 xml:space="preserve">Obs.: O art. 8º, I da IN SEGES/ME nº 40/2020 estabelece que é facultada a elaboração dos Estudos Preliminares nas hipóteses dos incisos I, II, III, IV e XI do art. 24 da Lei nº 8.666, de 21 de junho de 1993.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trike/>
                <w:sz w:val="24"/>
                <w:szCs w:val="24"/>
              </w:rPr>
            </w:pPr>
            <w:r>
              <w:rPr>
                <w:rFonts w:cs="Calibri" w:cstheme="minorHAnsi"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trike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3.1. Os estudos desenvolvidos atenderam a todas as exigências do art. 7º da IN SEGES 40/2020?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trike/>
                <w:sz w:val="24"/>
                <w:szCs w:val="24"/>
              </w:rPr>
            </w:pPr>
            <w:r>
              <w:rPr>
                <w:rFonts w:cs="Calibri" w:cstheme="minorHAnsi"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trike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3.2. A não previsão, nos estudos preliminares, de qualquer dos conteúdos do art. 7º da IN SEGES/ME nº 40/2020 foi devidamente justificada no próprio documento? (art. 7º, §2º, da IN SEGES/ME nº 40/2020)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trike/>
                <w:sz w:val="24"/>
                <w:szCs w:val="24"/>
              </w:rPr>
            </w:pPr>
            <w:r>
              <w:rPr>
                <w:rFonts w:cs="Calibri" w:cstheme="minorHAnsi"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highlight w:val="yellow"/>
              </w:rPr>
            </w:pPr>
            <w:r>
              <w:rPr>
                <w:rStyle w:val="Eop"/>
                <w:rFonts w:eastAsia="Calibri"/>
                <w:kern w:val="0"/>
                <w:sz w:val="24"/>
                <w:szCs w:val="24"/>
                <w:lang w:val="pt-BR" w:eastAsia="en-US" w:bidi="ar-SA"/>
              </w:rPr>
              <w:t>3.3.</w:t>
            </w:r>
            <w:r>
              <w:rPr>
                <w:rStyle w:val="Eop"/>
                <w:rFonts w:eastAsia="Calibri"/>
                <w:kern w:val="0"/>
                <w:lang w:val="pt-BR" w:eastAsia="en-US" w:bidi="ar-SA"/>
              </w:rPr>
              <w:t xml:space="preserve"> </w:t>
            </w:r>
            <w:r>
              <w:rPr>
                <w:rStyle w:val="Eop"/>
                <w:rFonts w:eastAsia="Calibri"/>
                <w:kern w:val="0"/>
                <w:sz w:val="24"/>
                <w:szCs w:val="24"/>
                <w:lang w:val="pt-BR" w:eastAsia="en-US" w:bidi="ar-SA"/>
              </w:rPr>
              <w:t>Consta a aprovação do Estudo Técnico Preliminar pela autoridade competente? (art. 14, inciso II, do Decreto n.º 10.024/19)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highlight w:val="yellow"/>
                <w:lang w:val="pt-BR" w:eastAsia="en-US" w:bidi="ar-SA"/>
              </w:rPr>
              <w:tab/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trike/>
                <w:sz w:val="24"/>
                <w:szCs w:val="24"/>
              </w:rPr>
            </w:pPr>
            <w:r>
              <w:rPr>
                <w:rFonts w:cs="Calibri" w:cstheme="minorHAnsi"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4. Há termo de referência ou projeto básico elaborado pelo setor requisitante? (art. 9º, II do Decreto 10.024/19; art. 6º, IX, art. 7º, I e II, §2º, I, §7º e art. 14 da Lei 8.666/93)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4.1. O documento contendo as especificações e a quantidade estimada do bem observou as diretrizes do art. 15 da Lei 8.666/93?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4.2. Foram utilizados os modelos de minutas padronizados de Termos de Referência ou de Projeto Básico da Procuradoria Geral do Município?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4.2.1. Foram justificadas e destacadas visualmente, no processo, eventuais alterações ou não utilização do modelo de termo de referência da PGM?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5. Encontra-se prevista a exigência de amostra ou prova de conceito para algum item?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5.1. A exigência está clara, precisa e acompanhada de metodologia de análise?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6. Houve consulta ao “Guia Nacional de Licitações Sustentáveis”, da CGU/AGU, com manifestação sobre práticas e/ou critérios de sustentabilidade economicamente viáveis adotados na contratação?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7. Consta a aprovação do termo de referência ou do projeto básico pela autoridade competente? (art. 14, II, do Decreto 10.024/19; art</w:t>
            </w:r>
            <w:r>
              <w:rPr>
                <w:rFonts w:eastAsia="Calibri" w:cs="Calibri" w:cstheme="minorHAnsi"/>
                <w:bCs/>
                <w:kern w:val="0"/>
                <w:sz w:val="24"/>
                <w:szCs w:val="24"/>
                <w:lang w:val="pt-BR" w:eastAsia="en-US" w:bidi="ar-SA"/>
              </w:rPr>
              <w:t>. 7º, §2º, I da Lei 8.666/93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8. Foi realizada ampla pesquisa de preços praticados pelo mercado do ramo do objeto a ser contratado baseada em critérios aceitáveis observando-se a IN 73, de 05 de agosto de 2020, do Ministério da Economia, conforme o caso? (art. 3º, III, da Lei 10.520/02, art. 3º, XI, “a”, “2” do Decreto 10.024/19, arts. 15, III e 43, IV da Lei 8.666/93 e art. 7º, inc. V e VI da IN SEGES/ME nº 40/2020).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8.1. A metodologia de obtenção do preço de referência foi esclarecida e devidamente justificada?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Droid Sans Fallback" w:cs="Calibri" w:cstheme="minorHAns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Calibri" w:cstheme="minorHAnsi"/>
                <w:kern w:val="2"/>
                <w:sz w:val="24"/>
                <w:szCs w:val="24"/>
                <w:lang w:val="pt-BR" w:eastAsia="zh-CN" w:bidi="hi-IN"/>
              </w:rPr>
              <w:t>8.2. Foi juntada tabela comparativa dos preços obtidos datada e assinada pelo servidor responsável pela pesquisa, para fins de subsidiar a análise crítica dos preços coletados?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Droid Sans Fallback" w:cs="Calibri" w:cstheme="minorHAns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Calibri" w:cstheme="minorHAnsi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8.3. Consta manifestação da área técnica com análise dos preços obtidos na pesquisa?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9. Consta indicação do recurso orçamentário próprio para a despesa e da respectiva rubrica, caso não seja SRP? (art. 8º, IV, do Decreto 10.024/19 e arts. 7º, § 2º, III, 14 e 38, caput, da Lei 8.666/93)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10. Foram utilizados os modelos padronizados de instrumentos contratuais da PGM?</w:t>
            </w:r>
            <w:r>
              <w:rPr>
                <w:rFonts w:eastAsia="Calibri" w:cs="Calibri" w:cstheme="minorHAnsi"/>
                <w:strike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10.1. Eventuais alterações nos modelos ou sua não utilização foram devidamente justificadas no processo?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elacomgrade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59"/>
        <w:gridCol w:w="1274"/>
      </w:tblGrid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pt-BR" w:eastAsia="en-US" w:bidi="ar-SA"/>
              </w:rPr>
              <w:t xml:space="preserve">LISTA DE VERIFICAÇÃO ESPECÍFICA PARA CONTRATAÇÃO PRECEDIDA DE LICITAÇÃO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4"/>
                <w:lang w:val="pt-BR" w:eastAsia="en-US" w:bidi="ar-SA"/>
              </w:rPr>
              <w:t>ESTADO</w:t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11. Houve justificativa do enquadramento ou não do objeto como sendo bem comum?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11.1 Sendo enquadrado o objeto como bem ou serviço comum, foi adotado o pregão? (art. 1º da Lei 10.520/02; art. 1º do Decreto 10.024/2019)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12. Sendo adotado o pregão, a autoridade competente designou o pregoeiro e a respectiva equipe de apoio? (art. 3º, IV, §§1º e 2º da Lei 10.520/02, art. 8º, VI do Decreto 10.024/19)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12.1. No caso de realizada a licitação por pregão presencial, consta a justificativa válida quanto à inviabilidade de utilizar-se o formato eletrônico? (art. 1º, §4º do Decreto 10.024/2019)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13. Sendo adotada modalidade de licitação diversa do pregão, consta designação da Comissão de Licitação? (</w:t>
            </w:r>
            <w:r>
              <w:rPr>
                <w:rFonts w:eastAsia="Calibri" w:cs="Calibri" w:cstheme="minorHAnsi"/>
                <w:bCs/>
                <w:kern w:val="0"/>
                <w:sz w:val="24"/>
                <w:szCs w:val="24"/>
                <w:lang w:val="pt-BR" w:eastAsia="en-US" w:bidi="ar-SA"/>
              </w:rPr>
              <w:t>art. 38, III, da Lei 8.666/93)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14. Caso tenha havido exigência de amostra, ela está prevista somente em relação ao vencedor e, tratando-se de pregão, apenas na fase de aceitação, após a etapa de lances? (Art. 43, IV e V, da Lei 8.666/93)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15. Há autorização da autoridade competente permitindo o início do procedimento licitatório? (art. 38, caput, da Lei 8.666/93 e art. 8º, V do Decreto nº 10.024/19)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16. Há minuta de edital? (art. 4º, III, da Lei 10.520/02, art. 8º, VII do Decreto nº 10.024/19 e art. 40 da Lei 8.666/93)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16.1. Foram utilizados os modelos padronizados de instrumentos convocatórios da PGM?</w:t>
            </w:r>
            <w:r>
              <w:rPr>
                <w:rFonts w:eastAsia="Calibri" w:cs="Calibri" w:cstheme="minorHAnsi"/>
                <w:strike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 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16.1.1. Eventuais alterações nos modelos ou a não utilização, foram devidamente justificadas no processo?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16.2. A minuta de contrato ou de instrumento assemelhado constitui anexo à minuta do edital? (art. 40, §2º, III, da Lei 8.666/93)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>Obs.: se a Administração Pública desejar substituir o contrato por outros instrumentos hábeis na forma do art. 62 da Lei 8.666/93, deverá justificar a decisão.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color w:val="000000" w:themeColor="text1"/>
                <w:kern w:val="0"/>
                <w:sz w:val="24"/>
                <w:szCs w:val="24"/>
                <w:lang w:val="pt-BR" w:eastAsia="en-US" w:bidi="ar-SA"/>
              </w:rPr>
              <w:t xml:space="preserve">16.3. Tratando-se de modalidade diversa do pregão, o orçamento estimado em planilhas de quantitativos e preços unitários está anexo ao edital? (art. 40 , §2º, II, da Lei 8.666/93)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="Calibri" w:cstheme="minorHAnsi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17. Os responsáveis pela elaboração do edital e dos anexos foram devidamente identificados no processo?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Style w:val="Tabelacomgrade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59"/>
        <w:gridCol w:w="1274"/>
      </w:tblGrid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t-BR" w:eastAsia="en-US" w:bidi="ar-SA"/>
              </w:rPr>
              <w:t xml:space="preserve">VERIFICAÇÃO </w:t>
            </w: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u w:val="single"/>
                <w:lang w:val="pt-BR" w:eastAsia="en-US" w:bidi="ar-SA"/>
              </w:rPr>
              <w:t>ESPECÍFICA PARA SISTEMA DE REGISTRO DE PREÇOS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4"/>
                <w:lang w:val="pt-BR" w:eastAsia="en-US" w:bidi="ar-SA"/>
              </w:rPr>
              <w:t>ESTADO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/>
                <w:b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4"/>
                <w:lang w:val="pt-BR" w:eastAsia="en-US" w:bidi="ar-SA"/>
              </w:rPr>
              <w:t>S / N / N.A.</w:t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18. Autoridade competente justificou a utilização do SRP com base em alguma das hipóteses previstas no artigo 3º do Decreto 7.892 de 23 de janeiro de 2013?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19. Foi realizado o procedimento de Intenção de Registro de Preços – IRP, visando ao registro e à divulgação dos itens a serem licitados? (art. 4º e 5º, I, do Decreto 7.892/13)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19.1. </w:t>
            </w:r>
            <w:bookmarkStart w:id="0" w:name="_Hlk4256808"/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No caso de dispensa da divulgação da Intenção de Registro de Preços – IRP, há justificativa do órgão gerenciador? (art. 4º, §1º, do Decreto 7.892/13)</w:t>
            </w:r>
            <w:bookmarkEnd w:id="0"/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19.2. Foram adotadas pelo órgão gerenciador as medidas do §3º do art. 4º do Decreto 7.892/2013?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eastAsia="en-US" w:bidi="ar-SA"/>
              </w:rPr>
              <w:t xml:space="preserve">20. No caso de existirem órgãos ou entidades participantes, o órgão gerenciador consolidou as informações relativas à estimativa individual e total de consumo?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en-US" w:eastAsia="en-US" w:bidi="ar-SA"/>
              </w:rPr>
              <w:t>(art. 5º, II, do Decreto 7.892/13)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21. Foram consolidados os dados das pesquisas de mercado realizadas pelos órgãos e entidades participantes, inclusive nas hipóteses previstas nos §§ 2º e 3º do art. 6º do Decreto 7.892/13? (art. 5º, IV, do Decreto 7.892/13)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22. O órgão gerenciador confirmou junto aos órgãos ou entidades participantes a sua concordância com o objeto a ser licitado, inclusive quanto aos quantitativos e termo de referência? (art. 5º, V, do Decreto 7.892/13)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23. Foi utilizado o modelo padronizado de ata de registro de preços da PGM?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23.1. Eventuais alterações no modelo ou sua não utilização foram devidamente justificadas no processo?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24. O Edital permite a adesão a não participantes? (Art. 22 do Decreto nº 7.892/13)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24.1 Houve justificativa para a permissão de futura adesão de interessados não-participantes? (Acórdão nº 757/2015 – Plenário do TCU)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24.2 Havendo possibilidade de adesão, há previsão de quantitativos para máximos por adesão e totais, nos termos do art. 22, §§ 3º, 4º e 4º-A do Decreto nº 7.892/13.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25. A licitação adota o critério de adjudicação por item?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25.1 Caso utilizado critério de adjudicação por preço global de grupo de itens, foi apresentada justificativa?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 xml:space="preserve">Atentar para a recomendação do TCU, emanada no acórdão 2037/2019-Plenário, nos seguinte termos: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color w:val="FF0000"/>
                <w:sz w:val="24"/>
                <w:szCs w:val="24"/>
              </w:rPr>
            </w:pPr>
            <w:r>
              <w:rPr>
                <w:rFonts w:eastAsia="Calibri" w:cs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 xml:space="preserve">9.6. determinar à Secretaria-Geral de Controle Externo desta Corte que, em reforço ao constante do item 9.3 do Acórdão 757/2015-Plenário, oriente suas unidades sobre a necessidade de sempre avaliar os seguintes aspectos em processos envolvendo pregões para registro de preços: […]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color w:val="FF0000"/>
                <w:kern w:val="0"/>
                <w:sz w:val="24"/>
                <w:szCs w:val="24"/>
                <w:lang w:val="pt-BR" w:eastAsia="en-US" w:bidi="ar-SA"/>
              </w:rPr>
              <w:t>9.6.3. obrigatoriedade da adjudicação por item como regra geral, tendo em vista o objetivo de propiciar a ampla participação de licitantes e a seleção das propostas mais vantajosas, sendo a adjudicação por preço global medida excepcional que precisa ser devidamente justificada, além de incompatível com a aquisição futura por itens - arts. 3º, § 1º, inciso I, 15, inciso IV, e 23, §§ 1º e 2º, da Lei 8.666/1993, e Acórdãos 529, 1.592, 1.913, 2.695 e 2.796/2013, todos do Plenário.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  <w:highlight w:val="yellow"/>
        </w:rPr>
      </w:pPr>
      <w:r>
        <w:rPr>
          <w:rFonts w:cs="Calibri" w:cstheme="minorHAnsi"/>
          <w:sz w:val="24"/>
          <w:szCs w:val="24"/>
          <w:highlight w:val="yellow"/>
        </w:rPr>
      </w:r>
    </w:p>
    <w:p>
      <w:pPr>
        <w:pStyle w:val="Normal"/>
        <w:rPr>
          <w:rFonts w:cs="Calibri" w:cstheme="minorHAnsi"/>
          <w:sz w:val="24"/>
          <w:szCs w:val="24"/>
          <w:highlight w:val="yellow"/>
        </w:rPr>
      </w:pPr>
      <w:r>
        <w:rPr>
          <w:rFonts w:cs="Calibri" w:cstheme="minorHAnsi"/>
          <w:sz w:val="24"/>
          <w:szCs w:val="24"/>
          <w:highlight w:val="yellow"/>
        </w:rPr>
      </w:r>
    </w:p>
    <w:p>
      <w:pPr>
        <w:pStyle w:val="Normal"/>
        <w:rPr>
          <w:rFonts w:cs="Calibri" w:cstheme="minorHAnsi"/>
          <w:sz w:val="24"/>
          <w:szCs w:val="24"/>
          <w:highlight w:val="yellow"/>
        </w:rPr>
      </w:pPr>
      <w:r>
        <w:rPr>
          <w:rFonts w:cs="Calibri" w:cstheme="minorHAnsi"/>
          <w:sz w:val="24"/>
          <w:szCs w:val="24"/>
          <w:highlight w:val="yellow"/>
        </w:rPr>
      </w:r>
    </w:p>
    <w:tbl>
      <w:tblPr>
        <w:tblStyle w:val="Tabelacomgrade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59"/>
        <w:gridCol w:w="1274"/>
      </w:tblGrid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Cs/>
                <w:sz w:val="24"/>
                <w:szCs w:val="24"/>
              </w:rPr>
            </w:pPr>
            <w:r>
              <w:rPr>
                <w:rFonts w:cs="Calibri" w:cstheme="minorHAnsi"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pt-BR" w:eastAsia="en-US" w:bidi="ar-SA"/>
              </w:rPr>
              <w:t xml:space="preserve">VERIFICAÇÃO </w:t>
            </w: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u w:val="single"/>
                <w:lang w:val="pt-BR" w:eastAsia="en-US" w:bidi="ar-SA"/>
              </w:rPr>
              <w:t>ESPECÍFICA PARA DISPENSA DE LICITAÇÃO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Cs w:val="24"/>
              </w:rPr>
            </w:pPr>
            <w:r>
              <w:rPr>
                <w:rFonts w:eastAsia="Calibri" w:cs="Calibri" w:cstheme="minorHAnsi"/>
                <w:kern w:val="0"/>
                <w:sz w:val="22"/>
                <w:szCs w:val="24"/>
                <w:lang w:val="pt-BR" w:eastAsia="en-US" w:bidi="ar-SA"/>
              </w:rPr>
              <w:t>ESTADO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b/>
                <w:b/>
                <w:szCs w:val="24"/>
              </w:rPr>
            </w:pPr>
            <w:r>
              <w:rPr>
                <w:rFonts w:cs="Calibri" w:cstheme="minorHAnsi"/>
                <w:b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26. Houve justificativa do enquadramento ou não do objeto dentro das hipóteses do art. 24 da Lei nº 8.666/93 ou de legislação específica pertinente, com indicação expressa do fundamento legal utilizado?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 xml:space="preserve">26.1. Nas hipóteses do art. 24, incisos IV e XXXV, houve demonstração da caracterização da situação emergencial, calamitosa ou de grave e iminente risco à segurança pública que justifique a dispensa, conforme o caso, nos termos do art. 26, parágrafo único, inciso I da Lei nº 8.666/93? 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27. Constam dos autos as razões para escolha do executante a ser contratado?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28. Consta dos autos prova: a) de regularidade fiscal federal, estadual e municipal; b) de regularidade com a Seguridade Social; c) de regularidade com o Fundo de Garantia por Tempo de Serviço; d) de regularidade trabalhista; e) declaração de cumprimento do disposto no inciso XXXIII do art. 7º da Constituição Federal; e f) ausência de penalidade que vede a contratação com o órgão (artigo 27 e seguintes da Lei 8.666/1993)?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83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pt-BR" w:eastAsia="en-US" w:bidi="ar-SA"/>
              </w:rPr>
              <w:t>29. Houve o reconhecimento da dispensa de licitação e a sua ratificação, nos termos do art. 26 da Lei nº 8.666/93, com a publicação do respectivo extrato, no prazo de 5 (cinco) dias?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pargrafoParecerChar" w:customStyle="1">
    <w:name w:val="L_parágrafo_Parecer Char"/>
    <w:basedOn w:val="CabealhoChar"/>
    <w:link w:val="LpargrafoParecer"/>
    <w:qFormat/>
    <w:rsid w:val="00b533f5"/>
    <w:rPr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533f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2cc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2c2ccc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2c2ccc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c2ccc"/>
    <w:rPr>
      <w:rFonts w:ascii="Segoe UI" w:hAnsi="Segoe UI" w:cs="Segoe UI"/>
      <w:sz w:val="18"/>
      <w:szCs w:val="18"/>
    </w:rPr>
  </w:style>
  <w:style w:type="character" w:styleId="LinkdaInternet">
    <w:name w:val="Link da Internet"/>
    <w:uiPriority w:val="99"/>
    <w:unhideWhenUsed/>
    <w:rsid w:val="00fe2a42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3833d5"/>
    <w:rPr/>
  </w:style>
  <w:style w:type="character" w:styleId="Eop" w:customStyle="1">
    <w:name w:val="eop"/>
    <w:basedOn w:val="DefaultParagraphFont"/>
    <w:qFormat/>
    <w:rsid w:val="003f3978"/>
    <w:rPr/>
  </w:style>
  <w:style w:type="character" w:styleId="Linkdainternetvisitado">
    <w:name w:val="Link da internet visitado"/>
    <w:basedOn w:val="DefaultParagraphFont"/>
    <w:uiPriority w:val="99"/>
    <w:semiHidden/>
    <w:unhideWhenUsed/>
    <w:rsid w:val="009d0901"/>
    <w:rPr>
      <w:color w:val="954F72" w:themeColor="followedHyperlink"/>
      <w:u w:val="single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1431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pargrafoParecer" w:customStyle="1">
    <w:name w:val="L_parágrafo_Parecer"/>
    <w:basedOn w:val="Cabealho"/>
    <w:link w:val="LpargrafoParecerChar"/>
    <w:autoRedefine/>
    <w:qFormat/>
    <w:rsid w:val="00b533f5"/>
    <w:pPr>
      <w:numPr>
        <w:ilvl w:val="0"/>
        <w:numId w:val="1"/>
      </w:numPr>
      <w:tabs>
        <w:tab w:val="clear" w:pos="4252"/>
        <w:tab w:val="clear" w:pos="8504"/>
        <w:tab w:val="left" w:pos="1418" w:leader="none"/>
      </w:tabs>
      <w:spacing w:before="0" w:after="240"/>
      <w:ind w:left="0" w:hanging="0"/>
      <w:jc w:val="both"/>
    </w:pPr>
    <w:rPr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33f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2c2cc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c2cc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2c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457"/>
    <w:pPr>
      <w:spacing w:before="0" w:after="16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3833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Spacing">
    <w:name w:val="No Spacing"/>
    <w:uiPriority w:val="1"/>
    <w:qFormat/>
    <w:rsid w:val="00a806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ONormal" w:customStyle="1">
    <w:name w:val="LO-Normal"/>
    <w:qFormat/>
    <w:rsid w:val="005e4e8e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0"/>
      <w:sz w:val="24"/>
      <w:szCs w:val="24"/>
      <w:lang w:val="pt-BR" w:eastAsia="zh-CN" w:bidi="hi-IN"/>
    </w:rPr>
  </w:style>
  <w:style w:type="paragraph" w:styleId="Revision">
    <w:name w:val="Revision"/>
    <w:uiPriority w:val="99"/>
    <w:semiHidden/>
    <w:qFormat/>
    <w:rsid w:val="00d3315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Rodap">
    <w:name w:val="Footer"/>
    <w:basedOn w:val="Normal"/>
    <w:link w:val="RodapChar"/>
    <w:unhideWhenUsed/>
    <w:rsid w:val="0061431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c1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6" ma:contentTypeDescription="Create a new document." ma:contentTypeScope="" ma:versionID="e0a6417a0616bf881a651ea7ba4188e8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499979fcb82b6132cf3b34de9539001e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5C077-44E2-4F55-94F6-5F0E7E0CA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78382B-11D9-44BC-9A10-407A213B6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2016A-F1BB-4D4F-92AB-475D062F1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1846AF-4CB5-4900-856D-E862DB39D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LibreOffice/7.0.3.1$Windows_X86_64 LibreOffice_project/d7547858d014d4cf69878db179d326fc3483e082</Application>
  <Pages>4</Pages>
  <Words>1579</Words>
  <Characters>8266</Characters>
  <CharactersWithSpaces>9802</CharactersWithSpaces>
  <Paragraphs>72</Paragraphs>
  <Company>Banco Central do Brasil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2021-01-13T15:54:00Z</dcterms:created>
  <dc:creator>Leandro Sarai</dc:creator>
  <dc:description/>
  <dc:language>pt-BR</dc:language>
  <cp:lastModifiedBy/>
  <dcterms:modified xsi:type="dcterms:W3CDTF">2021-01-21T11:33:27Z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AuthorIds_UIVersion_1024">
    <vt:lpwstr>48</vt:lpwstr>
  </property>
  <property fmtid="{D5CDD505-2E9C-101B-9397-08002B2CF9AE}" pid="4" name="AuthorIds_UIVersion_512">
    <vt:lpwstr>44</vt:lpwstr>
  </property>
  <property fmtid="{D5CDD505-2E9C-101B-9397-08002B2CF9AE}" pid="5" name="Company">
    <vt:lpwstr>Banco Central do Brasil</vt:lpwstr>
  </property>
  <property fmtid="{D5CDD505-2E9C-101B-9397-08002B2CF9AE}" pid="6" name="ContentTypeId">
    <vt:lpwstr>0x01010012A2765E7DFD38469B2E626874CD0041</vt:lpwstr>
  </property>
  <property fmtid="{D5CDD505-2E9C-101B-9397-08002B2CF9AE}" pid="7" name="DocSecurity">
    <vt:i4>0</vt:i4>
  </property>
  <property fmtid="{D5CDD505-2E9C-101B-9397-08002B2CF9AE}" pid="8" name="HyperlinksChanged">
    <vt:bool>0</vt:bool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