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center"/>
        <w:rPr/>
      </w:pPr>
      <w:r>
        <w:rPr/>
      </w:r>
    </w:p>
    <w:p>
      <w:pPr>
        <w:pStyle w:val="Standard"/>
        <w:spacing w:lineRule="auto" w:line="360" w:before="0" w:after="0"/>
        <w:jc w:val="center"/>
        <w:rPr/>
      </w:pPr>
      <w:r>
        <w:rPr/>
        <w:t>Relatório de produtividade d</w:t>
      </w:r>
      <w:bookmarkStart w:id="0" w:name="_GoBack1"/>
      <w:bookmarkEnd w:id="0"/>
      <w:r>
        <w:rPr/>
        <w:t xml:space="preserve">a Procuradoria-Geral do Município de Nova Venécia/ES no mês de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pt-BR" w:eastAsia="zh-CN" w:bidi="hi-IN"/>
        </w:rPr>
        <w:t>SETEMBRO</w:t>
      </w:r>
      <w:r>
        <w:rPr>
          <w:b/>
          <w:bCs/>
        </w:rPr>
        <w:t>/2021</w:t>
      </w:r>
    </w:p>
    <w:p>
      <w:pPr>
        <w:pStyle w:val="Standard"/>
        <w:spacing w:lineRule="auto" w:line="360" w:before="0" w:after="0"/>
        <w:jc w:val="center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3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PROCESSOS JUDICIAIS: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>Total de entrada: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Petições iniciais: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Contestações: </w:t>
            </w:r>
            <w:r>
              <w:rPr>
                <w:b/>
                <w:bCs/>
              </w:rPr>
              <w:t>12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Recursos/Contrarrazões: </w:t>
            </w:r>
            <w:r>
              <w:rPr>
                <w:b/>
                <w:bCs/>
              </w:rPr>
              <w:t>18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Manifestações residuais: </w:t>
            </w:r>
            <w:r>
              <w:rPr>
                <w:b/>
                <w:bCs/>
              </w:rPr>
              <w:t>90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121</w:t>
            </w:r>
          </w:p>
        </w:tc>
      </w:tr>
    </w:tbl>
    <w:p>
      <w:pPr>
        <w:pStyle w:val="Standard"/>
        <w:spacing w:lineRule="auto" w:line="360" w:before="0" w:after="0"/>
        <w:rPr/>
      </w:pPr>
      <w:r>
        <w:rPr/>
      </w:r>
    </w:p>
    <w:p>
      <w:pPr>
        <w:pStyle w:val="Standard"/>
        <w:spacing w:lineRule="auto" w:line="360" w:before="0" w:after="0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71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EXECUÇÕES FISCAIS:</w:t>
            </w:r>
          </w:p>
          <w:p>
            <w:pPr>
              <w:pStyle w:val="Standard"/>
              <w:widowControl w:val="false"/>
              <w:suppressLineNumbers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entrada: </w:t>
            </w:r>
            <w:r>
              <w:rPr>
                <w:b/>
                <w:bCs/>
              </w:rPr>
              <w:t>13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crédito fiscal executado: </w:t>
            </w:r>
            <w:r>
              <w:rPr>
                <w:b/>
                <w:kern w:val="0"/>
              </w:rPr>
              <w:t xml:space="preserve">R$ </w:t>
            </w:r>
            <w:r>
              <w:rPr>
                <w:b/>
                <w:kern w:val="0"/>
              </w:rPr>
              <w:t xml:space="preserve">132.096,85 </w:t>
            </w:r>
            <w:r>
              <w:rPr>
                <w:b/>
                <w:kern w:val="0"/>
              </w:rPr>
              <w:t>(</w:t>
            </w:r>
            <w:r>
              <w:rPr>
                <w:rFonts w:eastAsia="NSimSun" w:cs="Arial"/>
                <w:b/>
                <w:color w:val="auto"/>
                <w:kern w:val="0"/>
                <w:sz w:val="24"/>
                <w:szCs w:val="24"/>
                <w:lang w:val="pt-BR" w:eastAsia="zh-CN" w:bidi="hi-IN"/>
              </w:rPr>
              <w:t>cento e trinta e dois mil e noventa e seis reais e oitenta e cinco</w:t>
            </w:r>
            <w:r>
              <w:rPr>
                <w:b/>
                <w:kern w:val="0"/>
              </w:rPr>
              <w:t xml:space="preserve"> centavos).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16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28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PROCESSOS ADMINISTRATIVOS:</w:t>
            </w:r>
          </w:p>
          <w:p>
            <w:pPr>
              <w:pStyle w:val="Standard"/>
              <w:widowControl w:val="false"/>
              <w:suppressLineNumbers/>
              <w:tabs>
                <w:tab w:val="clear" w:pos="709"/>
                <w:tab w:val="left" w:pos="170" w:leader="none"/>
              </w:tabs>
              <w:spacing w:lineRule="auto" w:line="360" w:before="113" w:after="113"/>
              <w:ind w:firstLine="87"/>
              <w:rPr/>
            </w:pPr>
            <w:r>
              <w:rPr/>
              <w:t>Total de entrada: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Pareceres: </w:t>
            </w:r>
            <w:r>
              <w:rPr>
                <w:b/>
                <w:bCs/>
              </w:rPr>
              <w:t>18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Despachos: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36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54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3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PROCESSOS LICITATÓRIOS: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113" w:after="113"/>
              <w:ind w:left="113" w:right="0" w:hanging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entrada: </w:t>
            </w:r>
            <w:r>
              <w:rPr>
                <w:b/>
                <w:bCs/>
                <w:sz w:val="24"/>
                <w:szCs w:val="24"/>
              </w:rPr>
              <w:t>48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59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Despachos: 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saída: </w:t>
            </w:r>
            <w:r>
              <w:rPr>
                <w:b/>
                <w:bCs/>
                <w:sz w:val="24"/>
                <w:szCs w:val="24"/>
              </w:rPr>
              <w:t>74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Objetos dos processos licitatórios analisados: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Saúde - Acréscimo de cláusula em contrato.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Agricultura – acréscimo de 25% contrato.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Sec. Agricultura – Pregos para pontes.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Gabinete – Adesão a ata.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Sec. Educação – aditivo linha transporte escolar.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Sec. Educação – reajuste transporte escolar.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Sec. Saúde – Aditivo 25% transporte vans.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 xml:space="preserve">Sec. Obras – Aditivo 25%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veículos pesados.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Agricultura – Aditivo 25% veículos pesados.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Educação – Prorrogação contratos transporte escolar.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Meio ambiente – prorrogação de prazo transporte resíduos sólidos.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Finanças- Fase interna – consultoria tributária.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Finanças – prorrogação execução contrato Geomais.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Educação – fase interna – aquisição de materiais de construção.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pt-BR" w:eastAsia="zh-CN" w:bidi="ar-SA"/>
              </w:rPr>
              <w:t>e Ação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 xml:space="preserve"> Social 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Aluguel Social.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Administração – fase externa – Materiais de expediente.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Setor de Contratos - Prorrogação de contrato – análise da minuta.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 xml:space="preserve">Sec.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e Administração – fase externa – Materiais de Construção.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Administração – fase interna – Aquisição de materiais e equipamentos.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Ação Social – fase interna – Aquisição de gêneros Alimentícios para Casa do Vovô.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Obras – fase interna – Aquisição de material de construção.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Administração – fase interna – Recarga de extintores de incêndio.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Educação – fase interna – Equipamentos tecnológicos.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Sec. de Administração – fase interna - Aquisição de linha frigorígena e canaletas.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Consulta – Pregão eletrônico nº 008/2021.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 xml:space="preserve">Prorrogação de contrato – Ponto de táxi.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Análise de suposto impedimento e irregularidade na contratação de empresa licitante.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Tomada de Preço – Empreitada Global – Obra dos pontos de táxi.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Reajuste do valor do contrato – Serviços de informática.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Reequilíbrio econômico-financeiro.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Chamada Pública – Compra com doação simultânea – Fase externa – Sec. Ação Social.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Acordo de cooperação – Análise de viabilidade jurídica – Alimentos – Casa do Vovô.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Acordo de Cooperação – Ausência da minuta.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Dispensa de Chamamento Público – Casa do Vovô – Parecer inicial.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Prorrogação de vigência contratual – Exames laboratoriais – Sec. Saúde.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Locação de veículos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Pregão eletrônico – Medicamentos – Fase externa – Sec. Saúde.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Prorrogação de contrato – Adotar o trâmite necessário.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Inclusão de dotação orçamentária – Apostilamento.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Solicitação de análise de documentação para fins de Regularização Fundiária.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Equipamentos de informática – Fase externa.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Chamamento Público – Necessária a abertura do procedimento adequado.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Prorrogação de vigência contratual – Análise de minuta do termo aditivo.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Reequilíbrio econômico-financeiro – Impossibilidade.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Requerimento de rescisão contratual.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Reequilíbrio econômico-financeiro – Impossibilidade de anális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Reequilíbrio econômico-financeiro – Impossibilidade  de concessão.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Pedido de subvenção financeira – Análise discricionária da Administração.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Adesão à ata de registro de preços – Competência do órgão gerenciador.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Prorrogação de vigência contratual – Possibilidade desde que atendidas as recomendações.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Aquisição de patrulha mecanizada – Sec. Agricultura.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Análise de suposto impedimento e irregularidade na contratação de empresa licitante.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 xml:space="preserve">Tomada de Preço – Reforma de Unidade de Saúde – Fase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interna – Sec. Saúde.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Aquisição de alimentos – Fase Externa – Sec. Assistência Social.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Necessidade de juntada da minuta do acordo de cooperação para análise jurídica.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Acordo de Cooperação – Adaptação de imóvel para remanejar idosos com suspeita de Covid.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Materiais permanentes e mobiliários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Tomada de Preço – Reforma do Centro de Especialidades Odontológicas – Fase interna – Sec. Saúde.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Materiais de copa e cozinha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pt-BR" w:eastAsia="zh-CN" w:bidi="ar-SA"/>
              </w:rPr>
              <w:t>Pregão Eletrônico – SRP – Materiais hidráulicos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Reequilíbrio econômico-financeiro – Impossibilidade.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Pregão Eletrônico – SRP – Dedetização – Fase interna.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pt-BR" w:eastAsia="zh-CN" w:bidi="ar-SA"/>
              </w:rPr>
              <w:t>Pregão Eletrônico – SRP – Materiais e produtos laboratoriais – Fase interna.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5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OFÍCIOS: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13" w:right="0" w:hanging="0"/>
              <w:jc w:val="both"/>
              <w:textAlignment w:val="baseline"/>
              <w:rPr/>
            </w:pPr>
            <w:r>
              <w:rPr/>
              <w:t>Ofícios expedidos: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ind w:left="720" w:hanging="0"/>
              <w:jc w:val="center"/>
              <w:rPr/>
            </w:pPr>
            <w:r>
              <w:rPr>
                <w:b/>
                <w:bCs/>
              </w:rPr>
              <w:t>RECOMENDAÇÕES JURÍDICAS: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  <w:t>Recomendações jurídicas expedidas:</w:t>
            </w:r>
            <w:r>
              <w:rPr>
                <w:b/>
                <w:bCs/>
              </w:rPr>
              <w:t xml:space="preserve"> 01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left="113" w:hanging="0"/>
              <w:rPr/>
            </w:pPr>
            <w:r>
              <w:rPr>
                <w:rStyle w:val="Nfaseforte"/>
              </w:rPr>
              <w:t xml:space="preserve"> </w:t>
            </w:r>
            <w:r>
              <w:rPr>
                <w:rStyle w:val="Nfaseforte"/>
              </w:rPr>
              <w:t>Ob</w:t>
            </w:r>
            <w:r>
              <w:rPr>
                <w:rStyle w:val="Nfaseforte"/>
                <w:color w:val="000000"/>
              </w:rPr>
              <w:t>jetos recomendados:</w:t>
            </w:r>
          </w:p>
          <w:p>
            <w:pPr>
              <w:pStyle w:val="Normal"/>
              <w:widowControl w:val="false"/>
              <w:ind w:left="113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76"/>
              <w:jc w:val="both"/>
              <w:rPr>
                <w:rFonts w:eastAsia="Times New Roman" w:cs="Times New Roman"/>
                <w:b w:val="false"/>
                <w:b w:val="false"/>
                <w:bCs w:val="false"/>
                <w:color w:val="000000"/>
                <w:lang w:bidi="ar-SA"/>
              </w:rPr>
            </w:pPr>
            <w:r>
              <w:rPr>
                <w:rStyle w:val="Nfaseforte"/>
                <w:rFonts w:eastAsia="Times New Roman" w:cs="Times New Roman"/>
                <w:b w:val="false"/>
                <w:bCs w:val="false"/>
                <w:color w:val="000000"/>
                <w:lang w:bidi="ar-SA"/>
              </w:rPr>
              <w:t>Abertura de Processo Administrativo Disciplinar.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Fontepargpadro6" w:customStyle="1">
    <w:name w:val="Fonte parág. padrão6"/>
    <w:qFormat/>
    <w:rsid w:val="003b38f7"/>
    <w:rPr/>
  </w:style>
  <w:style w:type="character" w:styleId="Marcas" w:customStyle="1">
    <w:name w:val="Marcas"/>
    <w:qFormat/>
    <w:rPr>
      <w:rFonts w:ascii="OpenSymbol" w:hAnsi="OpenSymbol" w:eastAsia="OpenSymbol" w:cs="OpenSymbol"/>
      <w:b/>
      <w:b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LibreOffice/7.0.3.1$Windows_X86_64 LibreOffice_project/d7547858d014d4cf69878db179d326fc3483e082</Application>
  <Pages>5</Pages>
  <Words>696</Words>
  <Characters>4229</Characters>
  <CharactersWithSpaces>4862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2021-05-04T23:30:00Z</dcterms:created>
  <dc:creator>Brenda</dc:creator>
  <dc:description/>
  <dc:language>pt-BR</dc:language>
  <cp:lastModifiedBy/>
  <cp:lastPrinted>2021-04-27T09:48:00Z</cp:lastPrinted>
  <dcterms:modified xsi:type="dcterms:W3CDTF">2021-10-05T10:50:43Z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